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573F" w14:textId="71E63688" w:rsidR="008204B8" w:rsidRPr="0038740A" w:rsidRDefault="00F05C8F" w:rsidP="00D27AA1">
      <w:pPr>
        <w:spacing w:line="240" w:lineRule="auto"/>
        <w:rPr>
          <w:rFonts w:ascii="Arial" w:hAnsi="Arial" w:cs="Arial"/>
          <w:sz w:val="18"/>
          <w:szCs w:val="18"/>
        </w:rPr>
      </w:pPr>
      <w:r w:rsidRPr="0038740A">
        <w:rPr>
          <w:rFonts w:ascii="Arial" w:hAnsi="Arial" w:cs="Arial"/>
          <w:noProof/>
          <w:sz w:val="18"/>
          <w:szCs w:val="18"/>
        </w:rPr>
        <mc:AlternateContent>
          <mc:Choice Requires="wps">
            <w:drawing>
              <wp:anchor distT="0" distB="0" distL="114300" distR="114300" simplePos="0" relativeHeight="251659264" behindDoc="0" locked="0" layoutInCell="1" allowOverlap="1" wp14:anchorId="27C6E3F6" wp14:editId="2B761415">
                <wp:simplePos x="0" y="0"/>
                <wp:positionH relativeFrom="margin">
                  <wp:align>right</wp:align>
                </wp:positionH>
                <wp:positionV relativeFrom="paragraph">
                  <wp:posOffset>202730</wp:posOffset>
                </wp:positionV>
                <wp:extent cx="6305798" cy="1296000"/>
                <wp:effectExtent l="0" t="0" r="0" b="0"/>
                <wp:wrapNone/>
                <wp:docPr id="1" name="Rectangle: Rounded Corners 1"/>
                <wp:cNvGraphicFramePr/>
                <a:graphic xmlns:a="http://schemas.openxmlformats.org/drawingml/2006/main">
                  <a:graphicData uri="http://schemas.microsoft.com/office/word/2010/wordprocessingShape">
                    <wps:wsp>
                      <wps:cNvSpPr/>
                      <wps:spPr>
                        <a:xfrm>
                          <a:off x="0" y="0"/>
                          <a:ext cx="6305798" cy="1296000"/>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7FD592" w14:textId="425F6789" w:rsidR="00B5299D" w:rsidRPr="00401616" w:rsidRDefault="00B5299D" w:rsidP="00B5299D">
                            <w:pPr>
                              <w:rPr>
                                <w:rFonts w:asciiTheme="majorHAnsi" w:hAnsiTheme="majorHAnsi" w:cstheme="majorHAnsi"/>
                                <w:b/>
                                <w:bCs/>
                                <w:color w:val="A6A6A6" w:themeColor="background1" w:themeShade="A6"/>
                                <w:sz w:val="56"/>
                                <w:szCs w:val="56"/>
                              </w:rPr>
                            </w:pPr>
                            <w:r w:rsidRPr="00401616">
                              <w:rPr>
                                <w:rFonts w:asciiTheme="majorHAnsi" w:hAnsiTheme="majorHAnsi" w:cstheme="majorHAnsi"/>
                                <w:b/>
                                <w:bCs/>
                                <w:color w:val="A6A6A6" w:themeColor="background1" w:themeShade="A6"/>
                                <w:sz w:val="56"/>
                                <w:szCs w:val="56"/>
                              </w:rPr>
                              <w:t>Target Market Determination</w:t>
                            </w:r>
                          </w:p>
                          <w:p w14:paraId="6113C351" w14:textId="0F4C8F6D" w:rsidR="00B5299D" w:rsidRPr="009A16A2" w:rsidRDefault="00B5299D" w:rsidP="00B5299D">
                            <w:pPr>
                              <w:rPr>
                                <w:rFonts w:asciiTheme="majorHAnsi" w:hAnsiTheme="majorHAnsi" w:cstheme="majorHAnsi"/>
                                <w:color w:val="A6A6A6" w:themeColor="background1" w:themeShade="A6"/>
                                <w:sz w:val="36"/>
                                <w:szCs w:val="36"/>
                              </w:rPr>
                            </w:pPr>
                            <w:r w:rsidRPr="009A16A2">
                              <w:rPr>
                                <w:rFonts w:asciiTheme="majorHAnsi" w:hAnsiTheme="majorHAnsi" w:cstheme="majorHAnsi"/>
                                <w:color w:val="A6A6A6" w:themeColor="background1" w:themeShade="A6"/>
                                <w:sz w:val="36"/>
                                <w:szCs w:val="36"/>
                              </w:rPr>
                              <w:t xml:space="preserve">For </w:t>
                            </w:r>
                            <w:bookmarkStart w:id="0" w:name="_Hlk78808334"/>
                            <w:r w:rsidR="00757E50">
                              <w:rPr>
                                <w:rFonts w:asciiTheme="majorHAnsi" w:hAnsiTheme="majorHAnsi" w:cstheme="majorHAnsi"/>
                                <w:i/>
                                <w:iCs/>
                                <w:color w:val="000000" w:themeColor="text1"/>
                                <w:sz w:val="36"/>
                                <w:szCs w:val="36"/>
                              </w:rPr>
                              <w:t xml:space="preserve"> Art Dealers AD</w:t>
                            </w:r>
                            <w:r w:rsidR="00107473">
                              <w:rPr>
                                <w:rFonts w:asciiTheme="majorHAnsi" w:hAnsiTheme="majorHAnsi" w:cstheme="majorHAnsi"/>
                                <w:i/>
                                <w:iCs/>
                                <w:color w:val="000000" w:themeColor="text1"/>
                                <w:sz w:val="36"/>
                                <w:szCs w:val="36"/>
                              </w:rPr>
                              <w:t>X</w:t>
                            </w:r>
                            <w:r w:rsidR="00757E50">
                              <w:rPr>
                                <w:rFonts w:asciiTheme="majorHAnsi" w:hAnsiTheme="majorHAnsi" w:cstheme="majorHAnsi"/>
                                <w:i/>
                                <w:iCs/>
                                <w:color w:val="000000" w:themeColor="text1"/>
                                <w:sz w:val="36"/>
                                <w:szCs w:val="36"/>
                              </w:rPr>
                              <w:t>21 (WD-APC-LBS-AD</w:t>
                            </w:r>
                            <w:r w:rsidR="003A13AF">
                              <w:rPr>
                                <w:rFonts w:asciiTheme="majorHAnsi" w:hAnsiTheme="majorHAnsi" w:cstheme="majorHAnsi"/>
                                <w:i/>
                                <w:iCs/>
                                <w:color w:val="000000" w:themeColor="text1"/>
                                <w:sz w:val="36"/>
                                <w:szCs w:val="36"/>
                              </w:rPr>
                              <w:t>X</w:t>
                            </w:r>
                            <w:r w:rsidR="00757E50">
                              <w:rPr>
                                <w:rFonts w:asciiTheme="majorHAnsi" w:hAnsiTheme="majorHAnsi" w:cstheme="majorHAnsi"/>
                                <w:i/>
                                <w:iCs/>
                                <w:color w:val="000000" w:themeColor="text1"/>
                                <w:sz w:val="36"/>
                                <w:szCs w:val="36"/>
                              </w:rPr>
                              <w:t>21)</w:t>
                            </w:r>
                            <w:r w:rsidRPr="00DC4AFC">
                              <w:rPr>
                                <w:rFonts w:asciiTheme="majorHAnsi" w:hAnsiTheme="majorHAnsi" w:cstheme="majorHAnsi"/>
                                <w:color w:val="000000" w:themeColor="text1"/>
                                <w:sz w:val="36"/>
                                <w:szCs w:val="36"/>
                              </w:rPr>
                              <w:t xml:space="preserve"> </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C6E3F6" id="Rectangle: Rounded Corners 1" o:spid="_x0000_s1026" style="position:absolute;margin-left:445.3pt;margin-top:15.95pt;width:496.5pt;height:102.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" fillcolor="#f2f2f2 [3052]" stroked="f" strokeweight="1pt">
                <v:stroke joinstyle="miter"/>
                <v:textbox>
                  <w:txbxContent>
                    <w:p w14:paraId="6C7FD592" w14:textId="425F6789" w:rsidR="00B5299D" w:rsidRPr="00401616" w:rsidRDefault="00B5299D" w:rsidP="00B5299D">
                      <w:pPr>
                        <w:rPr>
                          <w:rFonts w:asciiTheme="majorHAnsi" w:hAnsiTheme="majorHAnsi" w:cstheme="majorHAnsi"/>
                          <w:b/>
                          <w:bCs/>
                          <w:color w:val="A6A6A6" w:themeColor="background1" w:themeShade="A6"/>
                          <w:sz w:val="56"/>
                          <w:szCs w:val="56"/>
                        </w:rPr>
                      </w:pPr>
                      <w:r w:rsidRPr="00401616">
                        <w:rPr>
                          <w:rFonts w:asciiTheme="majorHAnsi" w:hAnsiTheme="majorHAnsi" w:cstheme="majorHAnsi"/>
                          <w:b/>
                          <w:bCs/>
                          <w:color w:val="A6A6A6" w:themeColor="background1" w:themeShade="A6"/>
                          <w:sz w:val="56"/>
                          <w:szCs w:val="56"/>
                        </w:rPr>
                        <w:t>Target Market Determination</w:t>
                      </w:r>
                    </w:p>
                    <w:p w14:paraId="6113C351" w14:textId="0F4C8F6D" w:rsidR="00B5299D" w:rsidRPr="009A16A2" w:rsidRDefault="00B5299D" w:rsidP="00B5299D">
                      <w:pPr>
                        <w:rPr>
                          <w:rFonts w:asciiTheme="majorHAnsi" w:hAnsiTheme="majorHAnsi" w:cstheme="majorHAnsi"/>
                          <w:color w:val="A6A6A6" w:themeColor="background1" w:themeShade="A6"/>
                          <w:sz w:val="36"/>
                          <w:szCs w:val="36"/>
                        </w:rPr>
                      </w:pPr>
                      <w:r w:rsidRPr="009A16A2">
                        <w:rPr>
                          <w:rFonts w:asciiTheme="majorHAnsi" w:hAnsiTheme="majorHAnsi" w:cstheme="majorHAnsi"/>
                          <w:color w:val="A6A6A6" w:themeColor="background1" w:themeShade="A6"/>
                          <w:sz w:val="36"/>
                          <w:szCs w:val="36"/>
                        </w:rPr>
                        <w:t xml:space="preserve">For </w:t>
                      </w:r>
                      <w:bookmarkStart w:id="1" w:name="_Hlk78808334"/>
                      <w:r w:rsidR="00757E50">
                        <w:rPr>
                          <w:rFonts w:asciiTheme="majorHAnsi" w:hAnsiTheme="majorHAnsi" w:cstheme="majorHAnsi"/>
                          <w:i/>
                          <w:iCs/>
                          <w:color w:val="000000" w:themeColor="text1"/>
                          <w:sz w:val="36"/>
                          <w:szCs w:val="36"/>
                        </w:rPr>
                        <w:t xml:space="preserve"> Art Dealers AD</w:t>
                      </w:r>
                      <w:r w:rsidR="00107473">
                        <w:rPr>
                          <w:rFonts w:asciiTheme="majorHAnsi" w:hAnsiTheme="majorHAnsi" w:cstheme="majorHAnsi"/>
                          <w:i/>
                          <w:iCs/>
                          <w:color w:val="000000" w:themeColor="text1"/>
                          <w:sz w:val="36"/>
                          <w:szCs w:val="36"/>
                        </w:rPr>
                        <w:t>X</w:t>
                      </w:r>
                      <w:r w:rsidR="00757E50">
                        <w:rPr>
                          <w:rFonts w:asciiTheme="majorHAnsi" w:hAnsiTheme="majorHAnsi" w:cstheme="majorHAnsi"/>
                          <w:i/>
                          <w:iCs/>
                          <w:color w:val="000000" w:themeColor="text1"/>
                          <w:sz w:val="36"/>
                          <w:szCs w:val="36"/>
                        </w:rPr>
                        <w:t>21 (WD-APC-LBS-AD</w:t>
                      </w:r>
                      <w:r w:rsidR="003A13AF">
                        <w:rPr>
                          <w:rFonts w:asciiTheme="majorHAnsi" w:hAnsiTheme="majorHAnsi" w:cstheme="majorHAnsi"/>
                          <w:i/>
                          <w:iCs/>
                          <w:color w:val="000000" w:themeColor="text1"/>
                          <w:sz w:val="36"/>
                          <w:szCs w:val="36"/>
                        </w:rPr>
                        <w:t>X</w:t>
                      </w:r>
                      <w:r w:rsidR="00757E50">
                        <w:rPr>
                          <w:rFonts w:asciiTheme="majorHAnsi" w:hAnsiTheme="majorHAnsi" w:cstheme="majorHAnsi"/>
                          <w:i/>
                          <w:iCs/>
                          <w:color w:val="000000" w:themeColor="text1"/>
                          <w:sz w:val="36"/>
                          <w:szCs w:val="36"/>
                        </w:rPr>
                        <w:t>21)</w:t>
                      </w:r>
                      <w:r w:rsidRPr="00DC4AFC">
                        <w:rPr>
                          <w:rFonts w:asciiTheme="majorHAnsi" w:hAnsiTheme="majorHAnsi" w:cstheme="majorHAnsi"/>
                          <w:color w:val="000000" w:themeColor="text1"/>
                          <w:sz w:val="36"/>
                          <w:szCs w:val="36"/>
                        </w:rPr>
                        <w:t xml:space="preserve"> </w:t>
                      </w:r>
                      <w:bookmarkEnd w:id="1"/>
                    </w:p>
                  </w:txbxContent>
                </v:textbox>
                <w10:wrap anchorx="margin"/>
              </v:roundrect>
            </w:pict>
          </mc:Fallback>
        </mc:AlternateContent>
      </w:r>
    </w:p>
    <w:p w14:paraId="080EAB5A" w14:textId="33CA9264" w:rsidR="00D2410F" w:rsidRPr="0038740A" w:rsidRDefault="00D2410F" w:rsidP="00D27AA1">
      <w:pPr>
        <w:spacing w:line="240" w:lineRule="auto"/>
        <w:rPr>
          <w:rFonts w:ascii="Arial" w:hAnsi="Arial" w:cs="Arial"/>
          <w:sz w:val="18"/>
          <w:szCs w:val="18"/>
        </w:rPr>
      </w:pPr>
    </w:p>
    <w:p w14:paraId="7D5EDA2B" w14:textId="77777777" w:rsidR="00F05C8F" w:rsidRPr="0038740A" w:rsidRDefault="00F05C8F" w:rsidP="00D27AA1">
      <w:pPr>
        <w:spacing w:line="240" w:lineRule="auto"/>
        <w:rPr>
          <w:rFonts w:ascii="Arial" w:hAnsi="Arial" w:cs="Arial"/>
          <w:sz w:val="18"/>
          <w:szCs w:val="18"/>
        </w:rPr>
      </w:pPr>
    </w:p>
    <w:p w14:paraId="32290097" w14:textId="6A087D17" w:rsidR="00D2410F" w:rsidRPr="0038740A" w:rsidRDefault="00D2410F" w:rsidP="00D27AA1">
      <w:pPr>
        <w:spacing w:line="240" w:lineRule="auto"/>
        <w:rPr>
          <w:rFonts w:ascii="Arial" w:hAnsi="Arial" w:cs="Arial"/>
          <w:sz w:val="18"/>
          <w:szCs w:val="18"/>
        </w:rPr>
      </w:pPr>
    </w:p>
    <w:p w14:paraId="62B3CC32" w14:textId="4686A28E" w:rsidR="00D2410F" w:rsidRPr="0038740A" w:rsidRDefault="00D2410F" w:rsidP="00D27AA1">
      <w:pPr>
        <w:spacing w:line="240" w:lineRule="auto"/>
        <w:rPr>
          <w:rFonts w:ascii="Arial" w:hAnsi="Arial" w:cs="Arial"/>
          <w:sz w:val="18"/>
          <w:szCs w:val="18"/>
        </w:rPr>
      </w:pPr>
    </w:p>
    <w:p w14:paraId="553422CA" w14:textId="5F174C1C" w:rsidR="009A16A2" w:rsidRPr="0038740A" w:rsidRDefault="009A16A2" w:rsidP="00D27AA1">
      <w:pPr>
        <w:spacing w:line="240" w:lineRule="auto"/>
        <w:rPr>
          <w:rFonts w:ascii="Arial" w:hAnsi="Arial" w:cs="Arial"/>
          <w:sz w:val="18"/>
          <w:szCs w:val="18"/>
        </w:rPr>
      </w:pPr>
    </w:p>
    <w:p w14:paraId="1BCFBD85" w14:textId="77777777" w:rsidR="00216313" w:rsidRPr="0038740A" w:rsidRDefault="00216313" w:rsidP="00D27AA1">
      <w:pPr>
        <w:spacing w:line="240" w:lineRule="auto"/>
        <w:rPr>
          <w:rFonts w:ascii="Arial" w:hAnsi="Arial" w:cs="Arial"/>
          <w:sz w:val="18"/>
          <w:szCs w:val="18"/>
        </w:rPr>
      </w:pPr>
    </w:p>
    <w:p w14:paraId="20E996D0" w14:textId="44742059" w:rsidR="009A16A2" w:rsidRPr="0038740A" w:rsidRDefault="006164DE" w:rsidP="00D27AA1">
      <w:pPr>
        <w:pStyle w:val="ListParagraph"/>
        <w:numPr>
          <w:ilvl w:val="0"/>
          <w:numId w:val="1"/>
        </w:numPr>
        <w:spacing w:line="240" w:lineRule="auto"/>
        <w:ind w:left="567" w:hanging="567"/>
        <w:rPr>
          <w:rFonts w:ascii="Arial" w:hAnsi="Arial" w:cs="Arial"/>
          <w:b/>
          <w:bCs/>
          <w:sz w:val="18"/>
          <w:szCs w:val="18"/>
        </w:rPr>
      </w:pPr>
      <w:r w:rsidRPr="0038740A">
        <w:rPr>
          <w:rFonts w:ascii="Arial" w:hAnsi="Arial" w:cs="Arial"/>
          <w:b/>
          <w:bCs/>
          <w:sz w:val="18"/>
          <w:szCs w:val="18"/>
        </w:rPr>
        <w:t>About this document</w:t>
      </w:r>
    </w:p>
    <w:p w14:paraId="16763A46" w14:textId="32F3EEE9" w:rsidR="003360EF" w:rsidRPr="0038740A" w:rsidRDefault="003360EF" w:rsidP="00D27AA1">
      <w:pPr>
        <w:spacing w:line="240" w:lineRule="auto"/>
        <w:rPr>
          <w:rFonts w:ascii="Arial" w:hAnsi="Arial" w:cs="Arial"/>
          <w:sz w:val="18"/>
          <w:szCs w:val="18"/>
        </w:rPr>
      </w:pPr>
      <w:r w:rsidRPr="0038740A">
        <w:rPr>
          <w:rFonts w:ascii="Arial" w:hAnsi="Arial" w:cs="Arial"/>
          <w:sz w:val="18"/>
          <w:szCs w:val="18"/>
        </w:rPr>
        <w:t xml:space="preserve">This target market determination (TMD) </w:t>
      </w:r>
      <w:r w:rsidR="00356DEF" w:rsidRPr="0038740A">
        <w:rPr>
          <w:rFonts w:ascii="Arial" w:hAnsi="Arial" w:cs="Arial"/>
          <w:sz w:val="18"/>
          <w:szCs w:val="18"/>
        </w:rPr>
        <w:t xml:space="preserve">is designed </w:t>
      </w:r>
      <w:r w:rsidRPr="0038740A">
        <w:rPr>
          <w:rFonts w:ascii="Arial" w:hAnsi="Arial" w:cs="Arial"/>
          <w:sz w:val="18"/>
          <w:szCs w:val="18"/>
        </w:rPr>
        <w:t xml:space="preserve">to </w:t>
      </w:r>
      <w:r w:rsidR="00356DEF" w:rsidRPr="0038740A">
        <w:rPr>
          <w:rFonts w:ascii="Arial" w:hAnsi="Arial" w:cs="Arial"/>
          <w:sz w:val="18"/>
          <w:szCs w:val="18"/>
        </w:rPr>
        <w:t>help</w:t>
      </w:r>
      <w:r w:rsidRPr="0038740A">
        <w:rPr>
          <w:rFonts w:ascii="Arial" w:hAnsi="Arial" w:cs="Arial"/>
          <w:sz w:val="18"/>
          <w:szCs w:val="18"/>
        </w:rPr>
        <w:t xml:space="preserve"> consumers, distributors</w:t>
      </w:r>
      <w:r w:rsidR="00216313" w:rsidRPr="0038740A">
        <w:rPr>
          <w:rFonts w:ascii="Arial" w:hAnsi="Arial" w:cs="Arial"/>
          <w:sz w:val="18"/>
          <w:szCs w:val="18"/>
        </w:rPr>
        <w:t>,</w:t>
      </w:r>
      <w:r w:rsidRPr="0038740A">
        <w:rPr>
          <w:rFonts w:ascii="Arial" w:hAnsi="Arial" w:cs="Arial"/>
          <w:sz w:val="18"/>
          <w:szCs w:val="18"/>
        </w:rPr>
        <w:t xml:space="preserve"> and staff understand the class of consumers </w:t>
      </w:r>
      <w:r w:rsidR="00356DEF" w:rsidRPr="0038740A">
        <w:rPr>
          <w:rFonts w:ascii="Arial" w:hAnsi="Arial" w:cs="Arial"/>
          <w:sz w:val="18"/>
          <w:szCs w:val="18"/>
        </w:rPr>
        <w:t>that</w:t>
      </w:r>
      <w:r w:rsidRPr="0038740A">
        <w:rPr>
          <w:rFonts w:ascii="Arial" w:hAnsi="Arial" w:cs="Arial"/>
          <w:sz w:val="18"/>
          <w:szCs w:val="18"/>
        </w:rPr>
        <w:t xml:space="preserve"> this product has been designed</w:t>
      </w:r>
      <w:r w:rsidR="00356DEF" w:rsidRPr="0038740A">
        <w:rPr>
          <w:rFonts w:ascii="Arial" w:hAnsi="Arial" w:cs="Arial"/>
          <w:sz w:val="18"/>
          <w:szCs w:val="18"/>
        </w:rPr>
        <w:t xml:space="preserve"> for</w:t>
      </w:r>
      <w:r w:rsidRPr="0038740A">
        <w:rPr>
          <w:rFonts w:ascii="Arial" w:hAnsi="Arial" w:cs="Arial"/>
          <w:sz w:val="18"/>
          <w:szCs w:val="18"/>
        </w:rPr>
        <w:t>, having regard to the objectives, financial situation</w:t>
      </w:r>
      <w:r w:rsidR="00356DEF" w:rsidRPr="0038740A">
        <w:rPr>
          <w:rFonts w:ascii="Arial" w:hAnsi="Arial" w:cs="Arial"/>
          <w:sz w:val="18"/>
          <w:szCs w:val="18"/>
        </w:rPr>
        <w:t>,</w:t>
      </w:r>
      <w:r w:rsidRPr="0038740A">
        <w:rPr>
          <w:rFonts w:ascii="Arial" w:hAnsi="Arial" w:cs="Arial"/>
          <w:sz w:val="18"/>
          <w:szCs w:val="18"/>
        </w:rPr>
        <w:t xml:space="preserve"> and needs of the target market.   </w:t>
      </w:r>
    </w:p>
    <w:p w14:paraId="4D0C0F2D" w14:textId="4BDA9CFE" w:rsidR="00F07649" w:rsidRPr="0038740A" w:rsidRDefault="003360EF" w:rsidP="00D27AA1">
      <w:pPr>
        <w:spacing w:line="240" w:lineRule="auto"/>
        <w:rPr>
          <w:rFonts w:ascii="Arial" w:hAnsi="Arial" w:cs="Arial"/>
          <w:sz w:val="18"/>
          <w:szCs w:val="18"/>
        </w:rPr>
      </w:pPr>
      <w:r w:rsidRPr="0038740A">
        <w:rPr>
          <w:rFonts w:ascii="Arial" w:hAnsi="Arial" w:cs="Arial"/>
          <w:sz w:val="18"/>
          <w:szCs w:val="18"/>
        </w:rPr>
        <w:t xml:space="preserve">This </w:t>
      </w:r>
      <w:r w:rsidR="00356DEF" w:rsidRPr="0038740A">
        <w:rPr>
          <w:rFonts w:ascii="Arial" w:hAnsi="Arial" w:cs="Arial"/>
          <w:sz w:val="18"/>
          <w:szCs w:val="18"/>
        </w:rPr>
        <w:t xml:space="preserve">TMD </w:t>
      </w:r>
      <w:r w:rsidRPr="0038740A">
        <w:rPr>
          <w:rFonts w:ascii="Arial" w:hAnsi="Arial" w:cs="Arial"/>
          <w:sz w:val="18"/>
          <w:szCs w:val="18"/>
        </w:rPr>
        <w:t>is not a full summary of the</w:t>
      </w:r>
      <w:r w:rsidR="00757E50">
        <w:rPr>
          <w:rFonts w:ascii="Arial" w:hAnsi="Arial" w:cs="Arial"/>
          <w:i/>
          <w:sz w:val="18"/>
          <w:szCs w:val="18"/>
        </w:rPr>
        <w:t xml:space="preserve"> Art Dealers AD</w:t>
      </w:r>
      <w:r w:rsidR="003A13AF">
        <w:rPr>
          <w:rFonts w:ascii="Arial" w:hAnsi="Arial" w:cs="Arial"/>
          <w:i/>
          <w:sz w:val="18"/>
          <w:szCs w:val="18"/>
        </w:rPr>
        <w:t>X</w:t>
      </w:r>
      <w:r w:rsidR="00757E50">
        <w:rPr>
          <w:rFonts w:ascii="Arial" w:hAnsi="Arial" w:cs="Arial"/>
          <w:i/>
          <w:sz w:val="18"/>
          <w:szCs w:val="18"/>
        </w:rPr>
        <w:t>21</w:t>
      </w:r>
      <w:r w:rsidRPr="0038740A">
        <w:rPr>
          <w:rFonts w:ascii="Arial" w:hAnsi="Arial" w:cs="Arial"/>
          <w:sz w:val="18"/>
          <w:szCs w:val="18"/>
        </w:rPr>
        <w:t xml:space="preserve"> terms and conditions and is not intended</w:t>
      </w:r>
      <w:r w:rsidR="008B465F" w:rsidRPr="0038740A">
        <w:rPr>
          <w:rFonts w:ascii="Arial" w:hAnsi="Arial" w:cs="Arial"/>
          <w:sz w:val="18"/>
          <w:szCs w:val="18"/>
        </w:rPr>
        <w:t xml:space="preserve"> nor designed</w:t>
      </w:r>
      <w:r w:rsidRPr="0038740A">
        <w:rPr>
          <w:rFonts w:ascii="Arial" w:hAnsi="Arial" w:cs="Arial"/>
          <w:sz w:val="18"/>
          <w:szCs w:val="18"/>
        </w:rPr>
        <w:t xml:space="preserve"> to provide financial advice. C</w:t>
      </w:r>
      <w:r w:rsidR="00216313" w:rsidRPr="0038740A">
        <w:rPr>
          <w:rFonts w:ascii="Arial" w:hAnsi="Arial" w:cs="Arial"/>
          <w:sz w:val="18"/>
          <w:szCs w:val="18"/>
        </w:rPr>
        <w:t>ustomers</w:t>
      </w:r>
      <w:r w:rsidRPr="0038740A">
        <w:rPr>
          <w:rFonts w:ascii="Arial" w:hAnsi="Arial" w:cs="Arial"/>
          <w:sz w:val="18"/>
          <w:szCs w:val="18"/>
        </w:rPr>
        <w:t xml:space="preserve"> </w:t>
      </w:r>
      <w:r w:rsidR="008B465F" w:rsidRPr="0038740A">
        <w:rPr>
          <w:rFonts w:ascii="Arial" w:hAnsi="Arial" w:cs="Arial"/>
          <w:sz w:val="18"/>
          <w:szCs w:val="18"/>
        </w:rPr>
        <w:t xml:space="preserve">should </w:t>
      </w:r>
      <w:r w:rsidRPr="0038740A">
        <w:rPr>
          <w:rFonts w:ascii="Arial" w:hAnsi="Arial" w:cs="Arial"/>
          <w:sz w:val="18"/>
          <w:szCs w:val="18"/>
        </w:rPr>
        <w:t xml:space="preserve">refer to the Product Disclosure Statement and any supplementary documents which outline the relevant terms and conditions </w:t>
      </w:r>
      <w:r w:rsidR="008B465F" w:rsidRPr="0038740A">
        <w:rPr>
          <w:rFonts w:ascii="Arial" w:hAnsi="Arial" w:cs="Arial"/>
          <w:sz w:val="18"/>
          <w:szCs w:val="18"/>
        </w:rPr>
        <w:t xml:space="preserve">of </w:t>
      </w:r>
      <w:r w:rsidRPr="0038740A">
        <w:rPr>
          <w:rFonts w:ascii="Arial" w:hAnsi="Arial" w:cs="Arial"/>
          <w:sz w:val="18"/>
          <w:szCs w:val="18"/>
        </w:rPr>
        <w:t xml:space="preserve">the </w:t>
      </w:r>
      <w:r w:rsidR="00757E50">
        <w:rPr>
          <w:rFonts w:ascii="Arial" w:hAnsi="Arial" w:cs="Arial"/>
          <w:i/>
          <w:sz w:val="18"/>
          <w:szCs w:val="18"/>
        </w:rPr>
        <w:t>Art Dealers AD</w:t>
      </w:r>
      <w:r w:rsidR="003A13AF">
        <w:rPr>
          <w:rFonts w:ascii="Arial" w:hAnsi="Arial" w:cs="Arial"/>
          <w:i/>
          <w:sz w:val="18"/>
          <w:szCs w:val="18"/>
        </w:rPr>
        <w:t>X</w:t>
      </w:r>
      <w:r w:rsidR="00757E50">
        <w:rPr>
          <w:rFonts w:ascii="Arial" w:hAnsi="Arial" w:cs="Arial"/>
          <w:i/>
          <w:sz w:val="18"/>
          <w:szCs w:val="18"/>
        </w:rPr>
        <w:t>21</w:t>
      </w:r>
      <w:r w:rsidR="008B465F" w:rsidRPr="0038740A">
        <w:rPr>
          <w:rFonts w:ascii="Arial" w:hAnsi="Arial" w:cs="Arial"/>
          <w:sz w:val="18"/>
          <w:szCs w:val="18"/>
        </w:rPr>
        <w:t xml:space="preserve"> </w:t>
      </w:r>
      <w:r w:rsidRPr="0038740A">
        <w:rPr>
          <w:rFonts w:ascii="Arial" w:hAnsi="Arial" w:cs="Arial"/>
          <w:sz w:val="18"/>
          <w:szCs w:val="18"/>
        </w:rPr>
        <w:t xml:space="preserve">when making a decision about </w:t>
      </w:r>
      <w:r w:rsidR="008B465F" w:rsidRPr="0038740A">
        <w:rPr>
          <w:rFonts w:ascii="Arial" w:hAnsi="Arial" w:cs="Arial"/>
          <w:sz w:val="18"/>
          <w:szCs w:val="18"/>
        </w:rPr>
        <w:t xml:space="preserve">purchasing </w:t>
      </w:r>
      <w:r w:rsidRPr="0038740A">
        <w:rPr>
          <w:rFonts w:ascii="Arial" w:hAnsi="Arial" w:cs="Arial"/>
          <w:sz w:val="18"/>
          <w:szCs w:val="18"/>
        </w:rPr>
        <w:t>this product.</w:t>
      </w:r>
    </w:p>
    <w:p w14:paraId="57BF7056" w14:textId="6915653D" w:rsidR="00F07649" w:rsidRPr="0038740A" w:rsidRDefault="00757E50" w:rsidP="00F07649">
      <w:pPr>
        <w:spacing w:line="240" w:lineRule="auto"/>
        <w:rPr>
          <w:rFonts w:ascii="Arial" w:hAnsi="Arial" w:cs="Arial"/>
          <w:sz w:val="18"/>
          <w:szCs w:val="18"/>
        </w:rPr>
      </w:pPr>
      <w:r>
        <w:rPr>
          <w:rFonts w:ascii="Arial" w:hAnsi="Arial" w:cs="Arial"/>
          <w:i/>
          <w:sz w:val="18"/>
          <w:szCs w:val="18"/>
        </w:rPr>
        <w:t>Art Dealers AD</w:t>
      </w:r>
      <w:r w:rsidR="003A13AF">
        <w:rPr>
          <w:rFonts w:ascii="Arial" w:hAnsi="Arial" w:cs="Arial"/>
          <w:i/>
          <w:sz w:val="18"/>
          <w:szCs w:val="18"/>
        </w:rPr>
        <w:t>X</w:t>
      </w:r>
      <w:r>
        <w:rPr>
          <w:rFonts w:ascii="Arial" w:hAnsi="Arial" w:cs="Arial"/>
          <w:i/>
          <w:sz w:val="18"/>
          <w:szCs w:val="18"/>
        </w:rPr>
        <w:t>21</w:t>
      </w:r>
      <w:r w:rsidR="00F07649" w:rsidRPr="0038740A">
        <w:rPr>
          <w:rFonts w:ascii="Arial" w:hAnsi="Arial" w:cs="Arial"/>
          <w:sz w:val="18"/>
          <w:szCs w:val="18"/>
        </w:rPr>
        <w:t xml:space="preserve"> is underwritten by Hiscox Syndicates Limited and, where shown on the schedule, certain underwriters at Lloyd’s (managed by Hiscox Syndicates Limited) and third-party insurers. Where the policy is underwritten in part by others, we act as agent for such underwriters and insurers.</w:t>
      </w:r>
    </w:p>
    <w:p w14:paraId="664582BC" w14:textId="494F4752" w:rsidR="00F07649" w:rsidRPr="0038740A" w:rsidRDefault="00F07649" w:rsidP="00F07649">
      <w:pPr>
        <w:spacing w:line="240" w:lineRule="auto"/>
        <w:rPr>
          <w:rFonts w:ascii="Arial" w:hAnsi="Arial" w:cs="Arial"/>
          <w:sz w:val="18"/>
          <w:szCs w:val="18"/>
        </w:rPr>
      </w:pPr>
      <w:r w:rsidRPr="0038740A">
        <w:rPr>
          <w:rFonts w:ascii="Arial" w:hAnsi="Arial" w:cs="Arial"/>
          <w:sz w:val="18"/>
          <w:szCs w:val="18"/>
        </w:rPr>
        <w:t xml:space="preserve">Hiscox is covered by the Financial Services Compensation Scheme (FSCS). If we cannot meet our obligations you may be entitled to compensation from the scheme. Full details are available at www.fscs.org.uk. </w:t>
      </w:r>
    </w:p>
    <w:p w14:paraId="13B54AEE" w14:textId="77777777" w:rsidR="00F07649" w:rsidRPr="0038740A" w:rsidRDefault="00F07649" w:rsidP="00F07649">
      <w:pPr>
        <w:spacing w:line="240" w:lineRule="auto"/>
        <w:rPr>
          <w:rFonts w:ascii="Arial" w:hAnsi="Arial" w:cs="Arial"/>
          <w:sz w:val="18"/>
          <w:szCs w:val="18"/>
        </w:rPr>
      </w:pPr>
      <w:r w:rsidRPr="0038740A">
        <w:rPr>
          <w:rFonts w:ascii="Arial" w:hAnsi="Arial" w:cs="Arial"/>
          <w:sz w:val="18"/>
          <w:szCs w:val="18"/>
        </w:rPr>
        <w:t xml:space="preserve">Hiscox Syndicates Limited is registered in England (no. 02590623) at 1 Great St Helen's, London EC3A 6HX. We are authorised by the Prudential Regulation Authority and regulated by the Financial Conduct Authority and the Prudential Regulation Authority (Financial Services Register number: 204924). You can check our details on the Register by visiting https://register.fca.org.uk/. </w:t>
      </w:r>
    </w:p>
    <w:p w14:paraId="15CDC32B" w14:textId="2D083DC4" w:rsidR="00F07649" w:rsidRPr="0038740A" w:rsidRDefault="00F07649" w:rsidP="00F07649">
      <w:pPr>
        <w:spacing w:line="240" w:lineRule="auto"/>
        <w:rPr>
          <w:rFonts w:ascii="Arial" w:hAnsi="Arial" w:cs="Arial"/>
          <w:sz w:val="18"/>
          <w:szCs w:val="18"/>
        </w:rPr>
      </w:pPr>
      <w:r w:rsidRPr="0038740A">
        <w:rPr>
          <w:rFonts w:ascii="Arial" w:hAnsi="Arial" w:cs="Arial"/>
          <w:sz w:val="18"/>
          <w:szCs w:val="18"/>
        </w:rPr>
        <w:t>Hiscox Ltd indirectly owns 100% of Hiscox Syndicates Limited.</w:t>
      </w:r>
    </w:p>
    <w:p w14:paraId="52085030" w14:textId="77777777" w:rsidR="0026685C" w:rsidRPr="0038740A" w:rsidRDefault="0026685C" w:rsidP="00D27AA1">
      <w:pPr>
        <w:spacing w:after="0" w:line="240" w:lineRule="auto"/>
        <w:rPr>
          <w:rFonts w:ascii="Arial" w:hAnsi="Arial" w:cs="Arial"/>
          <w:sz w:val="18"/>
          <w:szCs w:val="18"/>
        </w:rPr>
      </w:pPr>
    </w:p>
    <w:p w14:paraId="78DD52B7" w14:textId="0B762BD0" w:rsidR="006164DE" w:rsidRPr="0038740A" w:rsidRDefault="0026685C" w:rsidP="00D27AA1">
      <w:pPr>
        <w:spacing w:after="120" w:line="240" w:lineRule="auto"/>
        <w:rPr>
          <w:rFonts w:ascii="Arial" w:hAnsi="Arial" w:cs="Arial"/>
          <w:b/>
          <w:bCs/>
          <w:sz w:val="18"/>
          <w:szCs w:val="18"/>
        </w:rPr>
      </w:pPr>
      <w:r w:rsidRPr="0038740A">
        <w:rPr>
          <w:rFonts w:ascii="Arial" w:hAnsi="Arial" w:cs="Arial"/>
          <w:b/>
          <w:bCs/>
          <w:sz w:val="18"/>
          <w:szCs w:val="18"/>
        </w:rPr>
        <w:t>Product Disclosure Statement</w:t>
      </w:r>
      <w:r w:rsidR="006164DE" w:rsidRPr="0038740A">
        <w:rPr>
          <w:rFonts w:ascii="Arial" w:hAnsi="Arial" w:cs="Arial"/>
          <w:b/>
          <w:bCs/>
          <w:sz w:val="18"/>
          <w:szCs w:val="18"/>
        </w:rPr>
        <w:t xml:space="preserve"> </w:t>
      </w:r>
      <w:r w:rsidRPr="0038740A">
        <w:rPr>
          <w:rFonts w:ascii="Arial" w:hAnsi="Arial" w:cs="Arial"/>
          <w:b/>
          <w:bCs/>
          <w:sz w:val="18"/>
          <w:szCs w:val="18"/>
        </w:rPr>
        <w:t>to which this target market determination applies</w:t>
      </w:r>
    </w:p>
    <w:p w14:paraId="7077F12A" w14:textId="1776CDAB" w:rsidR="006164DE" w:rsidRPr="0038740A" w:rsidRDefault="0026685C" w:rsidP="00D27AA1">
      <w:pPr>
        <w:spacing w:line="240" w:lineRule="auto"/>
        <w:rPr>
          <w:rFonts w:ascii="Arial" w:hAnsi="Arial" w:cs="Arial"/>
          <w:sz w:val="18"/>
          <w:szCs w:val="18"/>
        </w:rPr>
      </w:pPr>
      <w:r w:rsidRPr="001836D1">
        <w:rPr>
          <w:rFonts w:ascii="Arial" w:hAnsi="Arial" w:cs="Arial"/>
          <w:sz w:val="18"/>
          <w:szCs w:val="18"/>
        </w:rPr>
        <w:t xml:space="preserve">This TMD applies to the </w:t>
      </w:r>
      <w:r w:rsidR="00650BB0" w:rsidRPr="001836D1">
        <w:rPr>
          <w:rFonts w:ascii="Arial" w:hAnsi="Arial" w:cs="Arial"/>
          <w:i/>
          <w:iCs/>
          <w:sz w:val="18"/>
          <w:szCs w:val="18"/>
        </w:rPr>
        <w:t>Art</w:t>
      </w:r>
      <w:r w:rsidR="00650BB0" w:rsidRPr="001836D1">
        <w:rPr>
          <w:rFonts w:ascii="Arial" w:hAnsi="Arial" w:cs="Arial"/>
          <w:sz w:val="18"/>
          <w:szCs w:val="18"/>
        </w:rPr>
        <w:t xml:space="preserve"> </w:t>
      </w:r>
      <w:r w:rsidR="00107473" w:rsidRPr="001E2C45">
        <w:rPr>
          <w:rFonts w:ascii="Arial" w:hAnsi="Arial" w:cs="Arial"/>
          <w:i/>
          <w:iCs/>
          <w:sz w:val="18"/>
          <w:szCs w:val="18"/>
        </w:rPr>
        <w:t>Dealers</w:t>
      </w:r>
      <w:r w:rsidR="00107473">
        <w:rPr>
          <w:rFonts w:ascii="Arial" w:hAnsi="Arial" w:cs="Arial"/>
          <w:sz w:val="18"/>
          <w:szCs w:val="18"/>
        </w:rPr>
        <w:t xml:space="preserve"> </w:t>
      </w:r>
      <w:r w:rsidR="00107473">
        <w:rPr>
          <w:rFonts w:ascii="Arial" w:hAnsi="Arial" w:cs="Arial"/>
          <w:i/>
          <w:iCs/>
          <w:sz w:val="18"/>
          <w:szCs w:val="18"/>
        </w:rPr>
        <w:t>ADX21</w:t>
      </w:r>
      <w:r w:rsidR="00107473" w:rsidRPr="001836D1">
        <w:rPr>
          <w:rFonts w:ascii="Arial" w:hAnsi="Arial" w:cs="Arial"/>
          <w:i/>
          <w:iCs/>
          <w:sz w:val="18"/>
          <w:szCs w:val="18"/>
        </w:rPr>
        <w:t xml:space="preserve"> </w:t>
      </w:r>
      <w:r w:rsidRPr="001836D1">
        <w:rPr>
          <w:rFonts w:ascii="Arial" w:hAnsi="Arial" w:cs="Arial"/>
          <w:sz w:val="18"/>
          <w:szCs w:val="18"/>
        </w:rPr>
        <w:t xml:space="preserve">referred to in the following </w:t>
      </w:r>
      <w:r w:rsidRPr="001836D1">
        <w:rPr>
          <w:rFonts w:ascii="Arial" w:hAnsi="Arial" w:cs="Arial"/>
          <w:i/>
          <w:iCs/>
          <w:sz w:val="18"/>
          <w:szCs w:val="18"/>
        </w:rPr>
        <w:t>Product Disclosure Statement</w:t>
      </w:r>
      <w:r w:rsidRPr="001836D1">
        <w:rPr>
          <w:rFonts w:ascii="Arial" w:hAnsi="Arial" w:cs="Arial"/>
          <w:sz w:val="18"/>
          <w:szCs w:val="18"/>
        </w:rPr>
        <w:t>:</w:t>
      </w:r>
    </w:p>
    <w:p w14:paraId="15164259" w14:textId="67174B24" w:rsidR="0026685C" w:rsidRPr="0038740A" w:rsidRDefault="0026685C" w:rsidP="00D27AA1">
      <w:pPr>
        <w:pStyle w:val="ListParagraph"/>
        <w:numPr>
          <w:ilvl w:val="0"/>
          <w:numId w:val="2"/>
        </w:numPr>
        <w:spacing w:line="240" w:lineRule="auto"/>
        <w:rPr>
          <w:rFonts w:ascii="Arial" w:hAnsi="Arial" w:cs="Arial"/>
          <w:sz w:val="18"/>
          <w:szCs w:val="18"/>
        </w:rPr>
      </w:pPr>
      <w:r w:rsidRPr="0038740A">
        <w:rPr>
          <w:rFonts w:ascii="Arial" w:hAnsi="Arial" w:cs="Arial"/>
          <w:sz w:val="18"/>
          <w:szCs w:val="18"/>
        </w:rPr>
        <w:t>[</w:t>
      </w:r>
      <w:bookmarkStart w:id="2" w:name="_Hlk78808696"/>
      <w:r w:rsidR="00650BB0" w:rsidRPr="0038740A">
        <w:rPr>
          <w:rFonts w:ascii="Arial" w:hAnsi="Arial" w:cs="Arial"/>
          <w:i/>
          <w:iCs/>
          <w:sz w:val="18"/>
          <w:szCs w:val="18"/>
        </w:rPr>
        <w:t xml:space="preserve">Art </w:t>
      </w:r>
      <w:r w:rsidR="00107473">
        <w:rPr>
          <w:rFonts w:ascii="Arial" w:hAnsi="Arial" w:cs="Arial"/>
          <w:i/>
          <w:iCs/>
          <w:sz w:val="18"/>
          <w:szCs w:val="18"/>
        </w:rPr>
        <w:t xml:space="preserve">Dealers </w:t>
      </w:r>
      <w:r w:rsidR="00BE325E">
        <w:rPr>
          <w:rFonts w:ascii="Arial" w:hAnsi="Arial" w:cs="Arial"/>
          <w:i/>
          <w:iCs/>
          <w:sz w:val="18"/>
          <w:szCs w:val="18"/>
        </w:rPr>
        <w:t>A</w:t>
      </w:r>
      <w:r w:rsidR="00107473">
        <w:rPr>
          <w:rFonts w:ascii="Arial" w:hAnsi="Arial" w:cs="Arial"/>
          <w:i/>
          <w:iCs/>
          <w:sz w:val="18"/>
          <w:szCs w:val="18"/>
        </w:rPr>
        <w:t>DX21</w:t>
      </w:r>
      <w:bookmarkEnd w:id="2"/>
      <w:r w:rsidR="00650BB0" w:rsidRPr="0038740A">
        <w:rPr>
          <w:rFonts w:ascii="Arial" w:hAnsi="Arial" w:cs="Arial"/>
          <w:i/>
          <w:iCs/>
          <w:sz w:val="18"/>
          <w:szCs w:val="18"/>
        </w:rPr>
        <w:t xml:space="preserve"> Product Disclosure Statement</w:t>
      </w:r>
      <w:r w:rsidR="001836D1" w:rsidRPr="001836D1">
        <w:rPr>
          <w:rFonts w:ascii="Arial" w:hAnsi="Arial" w:cs="Arial"/>
          <w:sz w:val="18"/>
          <w:szCs w:val="18"/>
        </w:rPr>
        <w:t>]</w:t>
      </w:r>
    </w:p>
    <w:p w14:paraId="601FD5D1" w14:textId="77777777" w:rsidR="0026685C" w:rsidRPr="0038740A" w:rsidRDefault="0026685C" w:rsidP="00D27AA1">
      <w:pPr>
        <w:spacing w:after="0" w:line="240" w:lineRule="auto"/>
        <w:rPr>
          <w:rFonts w:ascii="Arial" w:hAnsi="Arial" w:cs="Arial"/>
          <w:sz w:val="18"/>
          <w:szCs w:val="18"/>
        </w:rPr>
      </w:pPr>
    </w:p>
    <w:p w14:paraId="46F8A707" w14:textId="2BF77B55" w:rsidR="006164DE" w:rsidRPr="0038740A" w:rsidRDefault="006164DE" w:rsidP="00D27AA1">
      <w:pPr>
        <w:spacing w:after="120" w:line="240" w:lineRule="auto"/>
        <w:rPr>
          <w:rFonts w:ascii="Arial" w:hAnsi="Arial" w:cs="Arial"/>
          <w:b/>
          <w:bCs/>
          <w:sz w:val="18"/>
          <w:szCs w:val="18"/>
        </w:rPr>
      </w:pPr>
      <w:r w:rsidRPr="0038740A">
        <w:rPr>
          <w:rFonts w:ascii="Arial" w:hAnsi="Arial" w:cs="Arial"/>
          <w:b/>
          <w:bCs/>
          <w:sz w:val="18"/>
          <w:szCs w:val="18"/>
        </w:rPr>
        <w:t>Date from which this target market determination is effective</w:t>
      </w:r>
    </w:p>
    <w:p w14:paraId="3E0310FE" w14:textId="6910F6E3" w:rsidR="006164DE" w:rsidRPr="0038740A" w:rsidRDefault="00757E50" w:rsidP="00650BB0">
      <w:pPr>
        <w:spacing w:line="240" w:lineRule="auto"/>
        <w:rPr>
          <w:rFonts w:ascii="Arial" w:hAnsi="Arial" w:cs="Arial"/>
          <w:sz w:val="18"/>
          <w:szCs w:val="18"/>
        </w:rPr>
      </w:pPr>
      <w:r>
        <w:rPr>
          <w:rFonts w:ascii="Arial" w:hAnsi="Arial" w:cs="Arial"/>
          <w:sz w:val="18"/>
          <w:szCs w:val="18"/>
        </w:rPr>
        <w:t>1</w:t>
      </w:r>
      <w:r w:rsidRPr="006B0B1B">
        <w:rPr>
          <w:rFonts w:ascii="Arial" w:hAnsi="Arial" w:cs="Arial"/>
          <w:sz w:val="18"/>
          <w:szCs w:val="18"/>
          <w:vertAlign w:val="superscript"/>
        </w:rPr>
        <w:t>st</w:t>
      </w:r>
      <w:r>
        <w:rPr>
          <w:rFonts w:ascii="Arial" w:hAnsi="Arial" w:cs="Arial"/>
          <w:sz w:val="18"/>
          <w:szCs w:val="18"/>
        </w:rPr>
        <w:t xml:space="preserve"> January 202</w:t>
      </w:r>
      <w:r w:rsidR="003A13AF">
        <w:rPr>
          <w:rFonts w:ascii="Arial" w:hAnsi="Arial" w:cs="Arial"/>
          <w:sz w:val="18"/>
          <w:szCs w:val="18"/>
        </w:rPr>
        <w:t>3</w:t>
      </w:r>
    </w:p>
    <w:p w14:paraId="40BCD69D" w14:textId="77777777" w:rsidR="00D27AA1" w:rsidRPr="0038740A" w:rsidRDefault="00D27AA1" w:rsidP="00D27AA1">
      <w:pPr>
        <w:spacing w:after="0" w:line="240" w:lineRule="auto"/>
        <w:rPr>
          <w:rFonts w:ascii="Arial" w:hAnsi="Arial" w:cs="Arial"/>
          <w:sz w:val="18"/>
          <w:szCs w:val="18"/>
        </w:rPr>
      </w:pPr>
    </w:p>
    <w:p w14:paraId="0D5A1619" w14:textId="5F56F766" w:rsidR="006164DE" w:rsidRPr="0038740A" w:rsidRDefault="001D00AE" w:rsidP="00D27AA1">
      <w:pPr>
        <w:pStyle w:val="ListParagraph"/>
        <w:numPr>
          <w:ilvl w:val="0"/>
          <w:numId w:val="1"/>
        </w:numPr>
        <w:spacing w:after="120" w:line="240" w:lineRule="auto"/>
        <w:ind w:left="567" w:hanging="567"/>
        <w:rPr>
          <w:rFonts w:ascii="Arial" w:hAnsi="Arial" w:cs="Arial"/>
          <w:b/>
          <w:bCs/>
          <w:sz w:val="18"/>
          <w:szCs w:val="18"/>
        </w:rPr>
      </w:pPr>
      <w:r w:rsidRPr="0038740A">
        <w:rPr>
          <w:rFonts w:ascii="Arial" w:hAnsi="Arial" w:cs="Arial"/>
          <w:b/>
          <w:bCs/>
          <w:sz w:val="18"/>
          <w:szCs w:val="18"/>
        </w:rPr>
        <w:t>Class of consumers that fall within this target market</w:t>
      </w:r>
    </w:p>
    <w:p w14:paraId="1E6EC70E" w14:textId="4ADC4944" w:rsidR="009E39D1" w:rsidRPr="0038740A" w:rsidRDefault="00650BB0" w:rsidP="00D27AA1">
      <w:pPr>
        <w:spacing w:line="240" w:lineRule="auto"/>
        <w:rPr>
          <w:rFonts w:ascii="Arial" w:hAnsi="Arial" w:cs="Arial"/>
          <w:i/>
          <w:iCs/>
          <w:sz w:val="18"/>
          <w:szCs w:val="18"/>
        </w:rPr>
      </w:pPr>
      <w:r w:rsidRPr="0038740A">
        <w:rPr>
          <w:rFonts w:ascii="Arial" w:hAnsi="Arial" w:cs="Arial"/>
          <w:sz w:val="18"/>
          <w:szCs w:val="18"/>
        </w:rPr>
        <w:t>The</w:t>
      </w:r>
      <w:r w:rsidR="009E39D1" w:rsidRPr="0038740A">
        <w:rPr>
          <w:rFonts w:ascii="Arial" w:hAnsi="Arial" w:cs="Arial"/>
          <w:sz w:val="18"/>
          <w:szCs w:val="18"/>
        </w:rPr>
        <w:t xml:space="preserve"> </w:t>
      </w:r>
      <w:r w:rsidR="00757E50">
        <w:rPr>
          <w:rFonts w:ascii="Arial" w:hAnsi="Arial" w:cs="Arial"/>
          <w:i/>
          <w:sz w:val="18"/>
          <w:szCs w:val="18"/>
        </w:rPr>
        <w:t>Art Dealers AD</w:t>
      </w:r>
      <w:r w:rsidR="003A13AF">
        <w:rPr>
          <w:rFonts w:ascii="Arial" w:hAnsi="Arial" w:cs="Arial"/>
          <w:i/>
          <w:sz w:val="18"/>
          <w:szCs w:val="18"/>
        </w:rPr>
        <w:t>X</w:t>
      </w:r>
      <w:r w:rsidR="00757E50">
        <w:rPr>
          <w:rFonts w:ascii="Arial" w:hAnsi="Arial" w:cs="Arial"/>
          <w:i/>
          <w:sz w:val="18"/>
          <w:szCs w:val="18"/>
        </w:rPr>
        <w:t>21</w:t>
      </w:r>
      <w:r w:rsidR="009E39D1" w:rsidRPr="0038740A">
        <w:rPr>
          <w:rFonts w:ascii="Arial" w:hAnsi="Arial" w:cs="Arial"/>
          <w:sz w:val="18"/>
          <w:szCs w:val="18"/>
        </w:rPr>
        <w:t xml:space="preserve"> </w:t>
      </w:r>
      <w:r w:rsidRPr="0038740A">
        <w:rPr>
          <w:rFonts w:ascii="Arial" w:hAnsi="Arial" w:cs="Arial"/>
          <w:sz w:val="18"/>
          <w:szCs w:val="18"/>
        </w:rPr>
        <w:t xml:space="preserve">wording </w:t>
      </w:r>
      <w:r w:rsidR="009E39D1" w:rsidRPr="0038740A">
        <w:rPr>
          <w:rFonts w:ascii="Arial" w:hAnsi="Arial" w:cs="Arial"/>
          <w:sz w:val="18"/>
          <w:szCs w:val="18"/>
        </w:rPr>
        <w:t xml:space="preserve">has been designed for </w:t>
      </w:r>
      <w:r w:rsidR="00757E50">
        <w:rPr>
          <w:rFonts w:ascii="Arial" w:hAnsi="Arial" w:cs="Arial"/>
          <w:sz w:val="18"/>
          <w:szCs w:val="18"/>
        </w:rPr>
        <w:t xml:space="preserve">all sized </w:t>
      </w:r>
      <w:r w:rsidR="00107473">
        <w:rPr>
          <w:rFonts w:ascii="Arial" w:hAnsi="Arial" w:cs="Arial"/>
          <w:sz w:val="18"/>
          <w:szCs w:val="18"/>
        </w:rPr>
        <w:t xml:space="preserve">art dealers </w:t>
      </w:r>
      <w:r w:rsidR="009E39D1" w:rsidRPr="0038740A">
        <w:rPr>
          <w:rFonts w:ascii="Arial" w:hAnsi="Arial" w:cs="Arial"/>
          <w:sz w:val="18"/>
          <w:szCs w:val="18"/>
        </w:rPr>
        <w:t xml:space="preserve">whose likely objectives, financial situation and needs (as listed below) are aligned with the product (including the key attributes). The </w:t>
      </w:r>
      <w:r w:rsidR="00757E50">
        <w:rPr>
          <w:rFonts w:ascii="Arial" w:hAnsi="Arial" w:cs="Arial"/>
          <w:i/>
          <w:sz w:val="18"/>
          <w:szCs w:val="18"/>
        </w:rPr>
        <w:t>Art Dealers AD</w:t>
      </w:r>
      <w:r w:rsidR="003A13AF">
        <w:rPr>
          <w:rFonts w:ascii="Arial" w:hAnsi="Arial" w:cs="Arial"/>
          <w:i/>
          <w:sz w:val="18"/>
          <w:szCs w:val="18"/>
        </w:rPr>
        <w:t>X</w:t>
      </w:r>
      <w:r w:rsidR="00757E50">
        <w:rPr>
          <w:rFonts w:ascii="Arial" w:hAnsi="Arial" w:cs="Arial"/>
          <w:i/>
          <w:sz w:val="18"/>
          <w:szCs w:val="18"/>
        </w:rPr>
        <w:t>21</w:t>
      </w:r>
      <w:r w:rsidR="009E39D1" w:rsidRPr="0038740A">
        <w:rPr>
          <w:rFonts w:ascii="Arial" w:hAnsi="Arial" w:cs="Arial"/>
          <w:sz w:val="18"/>
          <w:szCs w:val="18"/>
        </w:rPr>
        <w:t xml:space="preserve"> is for those who:  </w:t>
      </w:r>
    </w:p>
    <w:p w14:paraId="265DDA99" w14:textId="7FF397A1" w:rsidR="001D00AE" w:rsidRPr="0038740A" w:rsidRDefault="003A13AF" w:rsidP="00D27AA1">
      <w:pPr>
        <w:pStyle w:val="ListParagraph"/>
        <w:numPr>
          <w:ilvl w:val="0"/>
          <w:numId w:val="2"/>
        </w:numPr>
        <w:spacing w:line="240" w:lineRule="auto"/>
        <w:rPr>
          <w:rFonts w:ascii="Arial" w:hAnsi="Arial" w:cs="Arial"/>
          <w:sz w:val="18"/>
          <w:szCs w:val="18"/>
        </w:rPr>
      </w:pPr>
      <w:r>
        <w:rPr>
          <w:rFonts w:ascii="Arial" w:hAnsi="Arial" w:cs="Arial"/>
          <w:sz w:val="18"/>
          <w:szCs w:val="18"/>
        </w:rPr>
        <w:t>P</w:t>
      </w:r>
      <w:r w:rsidRPr="003A13AF">
        <w:rPr>
          <w:rFonts w:ascii="Arial" w:hAnsi="Arial" w:cs="Arial"/>
          <w:sz w:val="18"/>
          <w:szCs w:val="18"/>
        </w:rPr>
        <w:t xml:space="preserve">olicyholders who </w:t>
      </w:r>
      <w:r w:rsidR="00107473">
        <w:rPr>
          <w:rFonts w:ascii="Arial" w:hAnsi="Arial" w:cs="Arial"/>
          <w:sz w:val="18"/>
          <w:szCs w:val="18"/>
        </w:rPr>
        <w:t xml:space="preserve">are </w:t>
      </w:r>
      <w:r w:rsidR="00911AB6">
        <w:rPr>
          <w:rFonts w:ascii="Arial" w:hAnsi="Arial" w:cs="Arial"/>
          <w:sz w:val="18"/>
          <w:szCs w:val="18"/>
        </w:rPr>
        <w:t xml:space="preserve">dealers, sellers or distributors of art and collectibles </w:t>
      </w:r>
      <w:r w:rsidR="00107473">
        <w:rPr>
          <w:rFonts w:ascii="Arial" w:hAnsi="Arial" w:cs="Arial"/>
          <w:sz w:val="18"/>
          <w:szCs w:val="18"/>
        </w:rPr>
        <w:t xml:space="preserve">and </w:t>
      </w:r>
      <w:r w:rsidRPr="003A13AF">
        <w:rPr>
          <w:rFonts w:ascii="Arial" w:hAnsi="Arial" w:cs="Arial"/>
          <w:sz w:val="18"/>
          <w:szCs w:val="18"/>
        </w:rPr>
        <w:t xml:space="preserve">want to protect against loss of or damage to their </w:t>
      </w:r>
      <w:r>
        <w:rPr>
          <w:rFonts w:ascii="Arial" w:hAnsi="Arial" w:cs="Arial"/>
          <w:sz w:val="18"/>
          <w:szCs w:val="18"/>
        </w:rPr>
        <w:t>stock</w:t>
      </w:r>
      <w:r w:rsidR="00107473">
        <w:rPr>
          <w:rFonts w:ascii="Arial" w:hAnsi="Arial" w:cs="Arial"/>
          <w:sz w:val="18"/>
          <w:szCs w:val="18"/>
        </w:rPr>
        <w:t>,</w:t>
      </w:r>
      <w:r>
        <w:rPr>
          <w:rFonts w:ascii="Arial" w:hAnsi="Arial" w:cs="Arial"/>
          <w:sz w:val="18"/>
          <w:szCs w:val="18"/>
        </w:rPr>
        <w:t xml:space="preserve"> contents</w:t>
      </w:r>
      <w:r w:rsidR="00107473">
        <w:rPr>
          <w:rFonts w:ascii="Arial" w:hAnsi="Arial" w:cs="Arial"/>
          <w:sz w:val="18"/>
          <w:szCs w:val="18"/>
        </w:rPr>
        <w:t>, and money</w:t>
      </w:r>
      <w:r w:rsidR="005B4DC5" w:rsidRPr="0038740A">
        <w:rPr>
          <w:rFonts w:ascii="Arial" w:hAnsi="Arial" w:cs="Arial"/>
          <w:sz w:val="18"/>
          <w:szCs w:val="18"/>
        </w:rPr>
        <w:t>.</w:t>
      </w:r>
    </w:p>
    <w:p w14:paraId="319763BB" w14:textId="77777777" w:rsidR="00162530" w:rsidRPr="0038740A" w:rsidRDefault="00162530" w:rsidP="00D27AA1">
      <w:pPr>
        <w:spacing w:after="0" w:line="240" w:lineRule="auto"/>
        <w:rPr>
          <w:rFonts w:ascii="Arial" w:hAnsi="Arial" w:cs="Arial"/>
          <w:b/>
          <w:bCs/>
          <w:sz w:val="18"/>
          <w:szCs w:val="18"/>
        </w:rPr>
      </w:pPr>
    </w:p>
    <w:p w14:paraId="39C76DE2" w14:textId="5E4253D8" w:rsidR="00162530" w:rsidRPr="0038740A" w:rsidRDefault="00162530" w:rsidP="00D27AA1">
      <w:pPr>
        <w:spacing w:after="120" w:line="240" w:lineRule="auto"/>
        <w:rPr>
          <w:rFonts w:ascii="Arial" w:hAnsi="Arial" w:cs="Arial"/>
          <w:b/>
          <w:bCs/>
          <w:sz w:val="18"/>
          <w:szCs w:val="18"/>
        </w:rPr>
      </w:pPr>
      <w:r w:rsidRPr="0038740A">
        <w:rPr>
          <w:rFonts w:ascii="Arial" w:hAnsi="Arial" w:cs="Arial"/>
          <w:b/>
          <w:bCs/>
          <w:sz w:val="18"/>
          <w:szCs w:val="18"/>
        </w:rPr>
        <w:t xml:space="preserve">Product description and key attributes  </w:t>
      </w:r>
    </w:p>
    <w:p w14:paraId="56B73B57" w14:textId="4DDCBC1D" w:rsidR="00162530" w:rsidRPr="0038740A" w:rsidRDefault="00162530" w:rsidP="00D27AA1">
      <w:pPr>
        <w:spacing w:line="240" w:lineRule="auto"/>
        <w:rPr>
          <w:rFonts w:ascii="Arial" w:hAnsi="Arial" w:cs="Arial"/>
          <w:sz w:val="18"/>
          <w:szCs w:val="18"/>
        </w:rPr>
      </w:pPr>
      <w:r w:rsidRPr="0038740A">
        <w:rPr>
          <w:rFonts w:ascii="Arial" w:hAnsi="Arial" w:cs="Arial"/>
          <w:sz w:val="18"/>
          <w:szCs w:val="18"/>
        </w:rPr>
        <w:t xml:space="preserve">The key eligibility requirements and product attributes of </w:t>
      </w:r>
      <w:r w:rsidR="00881AAE" w:rsidRPr="0038740A">
        <w:rPr>
          <w:rFonts w:ascii="Arial" w:hAnsi="Arial" w:cs="Arial"/>
          <w:sz w:val="18"/>
          <w:szCs w:val="18"/>
        </w:rPr>
        <w:t xml:space="preserve">the </w:t>
      </w:r>
      <w:r w:rsidR="003A13AF">
        <w:rPr>
          <w:rFonts w:ascii="Arial" w:hAnsi="Arial" w:cs="Arial"/>
          <w:i/>
          <w:sz w:val="18"/>
          <w:szCs w:val="18"/>
        </w:rPr>
        <w:t>Art Dealers ADX21</w:t>
      </w:r>
      <w:r w:rsidR="00881AAE" w:rsidRPr="0038740A">
        <w:rPr>
          <w:rFonts w:ascii="Arial" w:hAnsi="Arial" w:cs="Arial"/>
          <w:i/>
          <w:iCs/>
          <w:sz w:val="18"/>
          <w:szCs w:val="18"/>
        </w:rPr>
        <w:t xml:space="preserve"> </w:t>
      </w:r>
      <w:r w:rsidRPr="0038740A">
        <w:rPr>
          <w:rFonts w:ascii="Arial" w:hAnsi="Arial" w:cs="Arial"/>
          <w:sz w:val="18"/>
          <w:szCs w:val="18"/>
        </w:rPr>
        <w:t xml:space="preserve">are:  </w:t>
      </w:r>
    </w:p>
    <w:p w14:paraId="618A7B2C" w14:textId="55DC36F4" w:rsidR="006B0B1B" w:rsidRDefault="00EE5056" w:rsidP="006B0B1B">
      <w:pPr>
        <w:pStyle w:val="ListParagraph"/>
        <w:numPr>
          <w:ilvl w:val="0"/>
          <w:numId w:val="2"/>
        </w:numPr>
        <w:spacing w:line="240" w:lineRule="auto"/>
        <w:rPr>
          <w:rFonts w:ascii="Arial" w:hAnsi="Arial" w:cs="Arial"/>
          <w:sz w:val="18"/>
          <w:szCs w:val="18"/>
        </w:rPr>
      </w:pPr>
      <w:r>
        <w:rPr>
          <w:rFonts w:ascii="Arial" w:hAnsi="Arial" w:cs="Arial"/>
          <w:sz w:val="18"/>
          <w:szCs w:val="18"/>
        </w:rPr>
        <w:t>Dealers, sellers or distributors of art and collectibles</w:t>
      </w:r>
      <w:r w:rsidR="005B4DC5" w:rsidRPr="003A13AF">
        <w:rPr>
          <w:rFonts w:ascii="Arial" w:hAnsi="Arial" w:cs="Arial"/>
          <w:sz w:val="18"/>
          <w:szCs w:val="18"/>
        </w:rPr>
        <w:t xml:space="preserve"> who are domiciled in Australia and</w:t>
      </w:r>
      <w:r w:rsidR="00881AAE" w:rsidRPr="003A13AF">
        <w:rPr>
          <w:rFonts w:ascii="Arial" w:hAnsi="Arial" w:cs="Arial"/>
          <w:sz w:val="18"/>
          <w:szCs w:val="18"/>
        </w:rPr>
        <w:t xml:space="preserve"> </w:t>
      </w:r>
      <w:r w:rsidR="003A13AF" w:rsidRPr="003A13AF">
        <w:rPr>
          <w:rFonts w:ascii="Arial" w:hAnsi="Arial" w:cs="Arial"/>
          <w:sz w:val="18"/>
          <w:szCs w:val="18"/>
        </w:rPr>
        <w:t>who want to protect against loss of or damage to their</w:t>
      </w:r>
      <w:r w:rsidR="003A13AF">
        <w:rPr>
          <w:rFonts w:ascii="Arial" w:hAnsi="Arial" w:cs="Arial"/>
          <w:sz w:val="18"/>
          <w:szCs w:val="18"/>
        </w:rPr>
        <w:t xml:space="preserve"> stock</w:t>
      </w:r>
      <w:r w:rsidR="00911AB6">
        <w:rPr>
          <w:rFonts w:ascii="Arial" w:hAnsi="Arial" w:cs="Arial"/>
          <w:sz w:val="18"/>
          <w:szCs w:val="18"/>
        </w:rPr>
        <w:t>,</w:t>
      </w:r>
      <w:r w:rsidR="003A13AF">
        <w:rPr>
          <w:rFonts w:ascii="Arial" w:hAnsi="Arial" w:cs="Arial"/>
          <w:sz w:val="18"/>
          <w:szCs w:val="18"/>
        </w:rPr>
        <w:t xml:space="preserve"> contents</w:t>
      </w:r>
      <w:r w:rsidR="00911AB6">
        <w:rPr>
          <w:rFonts w:ascii="Arial" w:hAnsi="Arial" w:cs="Arial"/>
          <w:sz w:val="18"/>
          <w:szCs w:val="18"/>
        </w:rPr>
        <w:t>, and money.</w:t>
      </w:r>
    </w:p>
    <w:p w14:paraId="2BBD6732" w14:textId="5B442D4B" w:rsidR="00881AAE" w:rsidRPr="006B0B1B" w:rsidRDefault="00881AAE" w:rsidP="006B0B1B">
      <w:pPr>
        <w:pStyle w:val="ListParagraph"/>
        <w:numPr>
          <w:ilvl w:val="0"/>
          <w:numId w:val="2"/>
        </w:numPr>
        <w:spacing w:line="240" w:lineRule="auto"/>
        <w:rPr>
          <w:rFonts w:ascii="Arial" w:hAnsi="Arial" w:cs="Arial"/>
          <w:sz w:val="18"/>
          <w:szCs w:val="18"/>
        </w:rPr>
      </w:pPr>
      <w:r w:rsidRPr="006B0B1B">
        <w:rPr>
          <w:rFonts w:ascii="Arial" w:hAnsi="Arial" w:cs="Arial"/>
          <w:sz w:val="18"/>
          <w:szCs w:val="18"/>
        </w:rPr>
        <w:t xml:space="preserve">Key attributes include: </w:t>
      </w:r>
    </w:p>
    <w:p w14:paraId="310A7E64" w14:textId="614A2E22" w:rsidR="00162530" w:rsidRPr="0038740A" w:rsidRDefault="007A3F09" w:rsidP="00D27AA1">
      <w:pPr>
        <w:pStyle w:val="ListParagraph"/>
        <w:numPr>
          <w:ilvl w:val="0"/>
          <w:numId w:val="2"/>
        </w:numPr>
        <w:spacing w:line="240" w:lineRule="auto"/>
        <w:rPr>
          <w:rFonts w:ascii="Arial" w:hAnsi="Arial" w:cs="Arial"/>
          <w:sz w:val="18"/>
          <w:szCs w:val="18"/>
        </w:rPr>
      </w:pPr>
      <w:r w:rsidRPr="0038740A">
        <w:rPr>
          <w:rFonts w:ascii="Arial" w:hAnsi="Arial" w:cs="Arial"/>
          <w:sz w:val="18"/>
          <w:szCs w:val="18"/>
        </w:rPr>
        <w:t xml:space="preserve">Coverage for </w:t>
      </w:r>
      <w:r w:rsidR="003A13AF">
        <w:rPr>
          <w:rFonts w:ascii="Arial" w:hAnsi="Arial" w:cs="Arial"/>
          <w:sz w:val="18"/>
          <w:szCs w:val="18"/>
        </w:rPr>
        <w:t>stock and contents for their cost price plus an uplift or selling price less a discount specified in the risk details of the policy and as requested by the insured and agreed by the underwriter</w:t>
      </w:r>
      <w:r w:rsidRPr="0038740A">
        <w:rPr>
          <w:rFonts w:ascii="Arial" w:hAnsi="Arial" w:cs="Arial"/>
          <w:sz w:val="18"/>
          <w:szCs w:val="18"/>
        </w:rPr>
        <w:t>;</w:t>
      </w:r>
    </w:p>
    <w:p w14:paraId="69FBF166" w14:textId="66F7B47A" w:rsidR="00881AAE" w:rsidRPr="0038740A" w:rsidRDefault="00881AAE" w:rsidP="00D27AA1">
      <w:pPr>
        <w:pStyle w:val="ListParagraph"/>
        <w:numPr>
          <w:ilvl w:val="0"/>
          <w:numId w:val="2"/>
        </w:numPr>
        <w:spacing w:line="240" w:lineRule="auto"/>
        <w:rPr>
          <w:rFonts w:ascii="Arial" w:hAnsi="Arial" w:cs="Arial"/>
          <w:sz w:val="18"/>
          <w:szCs w:val="18"/>
        </w:rPr>
      </w:pPr>
      <w:r w:rsidRPr="0038740A">
        <w:rPr>
          <w:rFonts w:ascii="Arial" w:hAnsi="Arial" w:cs="Arial"/>
          <w:sz w:val="18"/>
          <w:szCs w:val="18"/>
        </w:rPr>
        <w:t>Cover</w:t>
      </w:r>
      <w:r w:rsidR="007A3F09" w:rsidRPr="0038740A">
        <w:rPr>
          <w:rFonts w:ascii="Arial" w:hAnsi="Arial" w:cs="Arial"/>
          <w:sz w:val="18"/>
          <w:szCs w:val="18"/>
        </w:rPr>
        <w:t>age</w:t>
      </w:r>
      <w:r w:rsidRPr="0038740A">
        <w:rPr>
          <w:rFonts w:ascii="Arial" w:hAnsi="Arial" w:cs="Arial"/>
          <w:sz w:val="18"/>
          <w:szCs w:val="18"/>
        </w:rPr>
        <w:t xml:space="preserve"> is on an ‘</w:t>
      </w:r>
      <w:proofErr w:type="spellStart"/>
      <w:r w:rsidRPr="0038740A">
        <w:rPr>
          <w:rFonts w:ascii="Arial" w:hAnsi="Arial" w:cs="Arial"/>
          <w:sz w:val="18"/>
          <w:szCs w:val="18"/>
        </w:rPr>
        <w:t>all risks’</w:t>
      </w:r>
      <w:proofErr w:type="spellEnd"/>
      <w:r w:rsidRPr="0038740A">
        <w:rPr>
          <w:rFonts w:ascii="Arial" w:hAnsi="Arial" w:cs="Arial"/>
          <w:sz w:val="18"/>
          <w:szCs w:val="18"/>
        </w:rPr>
        <w:t xml:space="preserve"> basis subject to the policy terms, conditions and exclusions</w:t>
      </w:r>
      <w:r w:rsidR="007A3F09" w:rsidRPr="0038740A">
        <w:rPr>
          <w:rFonts w:ascii="Arial" w:hAnsi="Arial" w:cs="Arial"/>
          <w:sz w:val="18"/>
          <w:szCs w:val="18"/>
        </w:rPr>
        <w:t>.</w:t>
      </w:r>
      <w:r w:rsidR="003A0952" w:rsidRPr="0038740A">
        <w:rPr>
          <w:rFonts w:ascii="Arial" w:hAnsi="Arial" w:cs="Arial"/>
          <w:sz w:val="18"/>
          <w:szCs w:val="18"/>
        </w:rPr>
        <w:t xml:space="preserve"> This means that the insurance covers all types of damage unless specifically excluded.</w:t>
      </w:r>
    </w:p>
    <w:p w14:paraId="5784B74F" w14:textId="24114EE4" w:rsidR="00162530" w:rsidRDefault="00162530" w:rsidP="00D27AA1">
      <w:pPr>
        <w:spacing w:after="0" w:line="240" w:lineRule="auto"/>
        <w:rPr>
          <w:rFonts w:ascii="Arial" w:hAnsi="Arial" w:cs="Arial"/>
          <w:sz w:val="18"/>
          <w:szCs w:val="18"/>
        </w:rPr>
      </w:pPr>
    </w:p>
    <w:p w14:paraId="470C3F2B" w14:textId="77777777" w:rsidR="00A5492B" w:rsidRPr="0038740A" w:rsidRDefault="00A5492B" w:rsidP="00D27AA1">
      <w:pPr>
        <w:spacing w:after="0" w:line="240" w:lineRule="auto"/>
        <w:rPr>
          <w:rFonts w:ascii="Arial" w:hAnsi="Arial" w:cs="Arial"/>
          <w:sz w:val="18"/>
          <w:szCs w:val="18"/>
        </w:rPr>
      </w:pPr>
    </w:p>
    <w:p w14:paraId="5C4273DE" w14:textId="4121CD99" w:rsidR="00162530" w:rsidRPr="0038740A" w:rsidRDefault="00162530" w:rsidP="00D27AA1">
      <w:pPr>
        <w:spacing w:line="240" w:lineRule="auto"/>
        <w:rPr>
          <w:rFonts w:ascii="Arial" w:hAnsi="Arial" w:cs="Arial"/>
          <w:b/>
          <w:bCs/>
          <w:sz w:val="18"/>
          <w:szCs w:val="18"/>
        </w:rPr>
      </w:pPr>
      <w:r w:rsidRPr="0038740A">
        <w:rPr>
          <w:rFonts w:ascii="Arial" w:hAnsi="Arial" w:cs="Arial"/>
          <w:b/>
          <w:bCs/>
          <w:sz w:val="18"/>
          <w:szCs w:val="18"/>
        </w:rPr>
        <w:t>Objectives</w:t>
      </w:r>
      <w:r w:rsidR="00462A8F" w:rsidRPr="0038740A">
        <w:rPr>
          <w:rFonts w:ascii="Arial" w:hAnsi="Arial" w:cs="Arial"/>
          <w:b/>
          <w:bCs/>
          <w:sz w:val="18"/>
          <w:szCs w:val="18"/>
        </w:rPr>
        <w:t xml:space="preserve"> and </w:t>
      </w:r>
      <w:r w:rsidRPr="0038740A">
        <w:rPr>
          <w:rFonts w:ascii="Arial" w:hAnsi="Arial" w:cs="Arial"/>
          <w:b/>
          <w:bCs/>
          <w:sz w:val="18"/>
          <w:szCs w:val="18"/>
        </w:rPr>
        <w:t xml:space="preserve">needs  </w:t>
      </w:r>
    </w:p>
    <w:p w14:paraId="2144E89E" w14:textId="7C351BF5" w:rsidR="00162530" w:rsidRPr="0038740A" w:rsidRDefault="00162530" w:rsidP="00D27AA1">
      <w:pPr>
        <w:spacing w:line="240" w:lineRule="auto"/>
        <w:rPr>
          <w:rFonts w:ascii="Arial" w:hAnsi="Arial" w:cs="Arial"/>
          <w:sz w:val="18"/>
          <w:szCs w:val="18"/>
        </w:rPr>
      </w:pPr>
      <w:r w:rsidRPr="0038740A">
        <w:rPr>
          <w:rFonts w:ascii="Arial" w:hAnsi="Arial" w:cs="Arial"/>
          <w:sz w:val="18"/>
          <w:szCs w:val="18"/>
        </w:rPr>
        <w:t xml:space="preserve">This product has been designed for </w:t>
      </w:r>
      <w:r w:rsidR="00EE5056">
        <w:rPr>
          <w:rFonts w:ascii="Arial" w:hAnsi="Arial" w:cs="Arial"/>
          <w:sz w:val="18"/>
          <w:szCs w:val="18"/>
        </w:rPr>
        <w:t>dealers, sellers or distributors of art and collectibles</w:t>
      </w:r>
      <w:r w:rsidRPr="0038740A">
        <w:rPr>
          <w:rFonts w:ascii="Arial" w:hAnsi="Arial" w:cs="Arial"/>
          <w:sz w:val="18"/>
          <w:szCs w:val="18"/>
        </w:rPr>
        <w:t xml:space="preserve"> who:  </w:t>
      </w:r>
    </w:p>
    <w:p w14:paraId="590F0838" w14:textId="1C7E86BC" w:rsidR="007A3F09" w:rsidRPr="0038740A" w:rsidRDefault="00EE5056" w:rsidP="00D27AA1">
      <w:pPr>
        <w:pStyle w:val="ListParagraph"/>
        <w:numPr>
          <w:ilvl w:val="0"/>
          <w:numId w:val="2"/>
        </w:numPr>
        <w:spacing w:line="240" w:lineRule="auto"/>
        <w:rPr>
          <w:rFonts w:ascii="Arial" w:hAnsi="Arial" w:cs="Arial"/>
          <w:sz w:val="18"/>
          <w:szCs w:val="18"/>
        </w:rPr>
      </w:pPr>
      <w:r w:rsidRPr="003A13AF">
        <w:rPr>
          <w:rFonts w:ascii="Arial" w:hAnsi="Arial" w:cs="Arial"/>
          <w:sz w:val="18"/>
          <w:szCs w:val="18"/>
        </w:rPr>
        <w:t>who want to protect against loss of or damage to their</w:t>
      </w:r>
      <w:r>
        <w:rPr>
          <w:rFonts w:ascii="Arial" w:hAnsi="Arial" w:cs="Arial"/>
          <w:sz w:val="18"/>
          <w:szCs w:val="18"/>
        </w:rPr>
        <w:t xml:space="preserve"> stock</w:t>
      </w:r>
      <w:r w:rsidR="00911AB6">
        <w:rPr>
          <w:rFonts w:ascii="Arial" w:hAnsi="Arial" w:cs="Arial"/>
          <w:sz w:val="18"/>
          <w:szCs w:val="18"/>
        </w:rPr>
        <w:t>,</w:t>
      </w:r>
      <w:r>
        <w:rPr>
          <w:rFonts w:ascii="Arial" w:hAnsi="Arial" w:cs="Arial"/>
          <w:sz w:val="18"/>
          <w:szCs w:val="18"/>
        </w:rPr>
        <w:t xml:space="preserve"> contents</w:t>
      </w:r>
      <w:r w:rsidR="00911AB6">
        <w:rPr>
          <w:rFonts w:ascii="Arial" w:hAnsi="Arial" w:cs="Arial"/>
          <w:sz w:val="18"/>
          <w:szCs w:val="18"/>
        </w:rPr>
        <w:t>, and money</w:t>
      </w:r>
      <w:r w:rsidR="00A5492B">
        <w:rPr>
          <w:rFonts w:ascii="Arial" w:hAnsi="Arial" w:cs="Arial"/>
          <w:sz w:val="18"/>
          <w:szCs w:val="18"/>
        </w:rPr>
        <w:t>.</w:t>
      </w:r>
    </w:p>
    <w:p w14:paraId="3BC5F7B7" w14:textId="1965C7D3" w:rsidR="00F07649" w:rsidRPr="0038740A" w:rsidRDefault="00F07649" w:rsidP="00F07649">
      <w:pPr>
        <w:spacing w:line="240" w:lineRule="auto"/>
        <w:rPr>
          <w:rFonts w:ascii="Arial" w:hAnsi="Arial" w:cs="Arial"/>
          <w:sz w:val="18"/>
          <w:szCs w:val="18"/>
        </w:rPr>
      </w:pPr>
      <w:r w:rsidRPr="0038740A">
        <w:rPr>
          <w:rFonts w:ascii="Arial" w:hAnsi="Arial" w:cs="Arial"/>
          <w:sz w:val="18"/>
          <w:szCs w:val="18"/>
        </w:rPr>
        <w:t>This product has not been designed for:</w:t>
      </w:r>
    </w:p>
    <w:p w14:paraId="613BF327" w14:textId="74E88F86" w:rsidR="00F07649" w:rsidRPr="0038740A" w:rsidRDefault="00F07649" w:rsidP="00F07649">
      <w:pPr>
        <w:pStyle w:val="ListParagraph"/>
        <w:numPr>
          <w:ilvl w:val="0"/>
          <w:numId w:val="2"/>
        </w:numPr>
        <w:spacing w:line="240" w:lineRule="auto"/>
        <w:rPr>
          <w:rFonts w:ascii="Arial" w:hAnsi="Arial" w:cs="Arial"/>
          <w:sz w:val="18"/>
          <w:szCs w:val="18"/>
        </w:rPr>
      </w:pPr>
      <w:r w:rsidRPr="0038740A">
        <w:rPr>
          <w:rFonts w:ascii="Arial" w:hAnsi="Arial" w:cs="Arial"/>
          <w:sz w:val="18"/>
          <w:szCs w:val="18"/>
        </w:rPr>
        <w:t xml:space="preserve">Individuals </w:t>
      </w:r>
      <w:r w:rsidR="00EE5056">
        <w:rPr>
          <w:rFonts w:ascii="Arial" w:hAnsi="Arial" w:cs="Arial"/>
          <w:sz w:val="18"/>
          <w:szCs w:val="18"/>
        </w:rPr>
        <w:t xml:space="preserve">who would like to insure their private fine art or collectibles against </w:t>
      </w:r>
      <w:r w:rsidR="006B0B1B">
        <w:rPr>
          <w:rFonts w:ascii="Arial" w:hAnsi="Arial" w:cs="Arial"/>
          <w:sz w:val="18"/>
          <w:szCs w:val="18"/>
        </w:rPr>
        <w:t>physical</w:t>
      </w:r>
      <w:r w:rsidR="00EE5056">
        <w:rPr>
          <w:rFonts w:ascii="Arial" w:hAnsi="Arial" w:cs="Arial"/>
          <w:sz w:val="18"/>
          <w:szCs w:val="18"/>
        </w:rPr>
        <w:t xml:space="preserve"> loss or </w:t>
      </w:r>
      <w:r w:rsidR="006B0B1B">
        <w:rPr>
          <w:rFonts w:ascii="Arial" w:hAnsi="Arial" w:cs="Arial"/>
          <w:sz w:val="18"/>
          <w:szCs w:val="18"/>
        </w:rPr>
        <w:t>damage</w:t>
      </w:r>
    </w:p>
    <w:p w14:paraId="0B1FA0D5" w14:textId="18B49540" w:rsidR="00EE5056" w:rsidRDefault="00EE5056">
      <w:pPr>
        <w:pStyle w:val="ListParagraph"/>
        <w:numPr>
          <w:ilvl w:val="0"/>
          <w:numId w:val="2"/>
        </w:numPr>
        <w:spacing w:line="240" w:lineRule="auto"/>
        <w:rPr>
          <w:rFonts w:ascii="Arial" w:hAnsi="Arial" w:cs="Arial"/>
          <w:sz w:val="18"/>
          <w:szCs w:val="18"/>
        </w:rPr>
      </w:pPr>
      <w:r>
        <w:rPr>
          <w:rFonts w:ascii="Arial" w:hAnsi="Arial" w:cs="Arial"/>
          <w:sz w:val="18"/>
          <w:szCs w:val="18"/>
        </w:rPr>
        <w:t>Dealers, sellers or distributors of any non-collectible goods</w:t>
      </w:r>
    </w:p>
    <w:p w14:paraId="62CE7C95" w14:textId="04B334AB" w:rsidR="00911AB6" w:rsidRPr="0038740A" w:rsidRDefault="00911AB6">
      <w:pPr>
        <w:pStyle w:val="ListParagraph"/>
        <w:numPr>
          <w:ilvl w:val="0"/>
          <w:numId w:val="2"/>
        </w:numPr>
        <w:spacing w:line="240" w:lineRule="auto"/>
        <w:rPr>
          <w:rFonts w:ascii="Arial" w:hAnsi="Arial" w:cs="Arial"/>
          <w:sz w:val="18"/>
          <w:szCs w:val="18"/>
        </w:rPr>
      </w:pPr>
      <w:r>
        <w:rPr>
          <w:rFonts w:ascii="Arial" w:hAnsi="Arial" w:cs="Arial"/>
          <w:sz w:val="18"/>
          <w:szCs w:val="18"/>
        </w:rPr>
        <w:t>Business that are not dealers, sellers or distributors of art and collectibles</w:t>
      </w:r>
    </w:p>
    <w:p w14:paraId="56D98249" w14:textId="529C5B0E" w:rsidR="00462A8F" w:rsidRPr="0038740A" w:rsidRDefault="00462A8F" w:rsidP="00462A8F">
      <w:pPr>
        <w:spacing w:line="240" w:lineRule="auto"/>
        <w:rPr>
          <w:rFonts w:ascii="Arial" w:hAnsi="Arial" w:cs="Arial"/>
          <w:b/>
          <w:bCs/>
          <w:sz w:val="18"/>
          <w:szCs w:val="18"/>
        </w:rPr>
      </w:pPr>
      <w:r w:rsidRPr="0038740A">
        <w:rPr>
          <w:rFonts w:ascii="Arial" w:hAnsi="Arial" w:cs="Arial"/>
          <w:b/>
          <w:bCs/>
          <w:sz w:val="18"/>
          <w:szCs w:val="18"/>
        </w:rPr>
        <w:t xml:space="preserve">Financial situation </w:t>
      </w:r>
    </w:p>
    <w:p w14:paraId="535E1C4D" w14:textId="75B08641" w:rsidR="001C0A33" w:rsidRPr="0038740A" w:rsidRDefault="001C0A33" w:rsidP="00951DD9">
      <w:pPr>
        <w:spacing w:line="240" w:lineRule="auto"/>
        <w:rPr>
          <w:rFonts w:ascii="Arial" w:hAnsi="Arial" w:cs="Arial"/>
          <w:sz w:val="18"/>
          <w:szCs w:val="18"/>
        </w:rPr>
      </w:pPr>
      <w:r w:rsidRPr="0038740A">
        <w:rPr>
          <w:rFonts w:ascii="Arial" w:hAnsi="Arial" w:cs="Arial"/>
          <w:sz w:val="18"/>
          <w:szCs w:val="18"/>
        </w:rPr>
        <w:t xml:space="preserve">This product has been designed for </w:t>
      </w:r>
      <w:r w:rsidR="00EE5056">
        <w:rPr>
          <w:rFonts w:ascii="Arial" w:hAnsi="Arial" w:cs="Arial"/>
          <w:sz w:val="18"/>
          <w:szCs w:val="18"/>
        </w:rPr>
        <w:t>dealers, sellers or distributors of art and collectibles</w:t>
      </w:r>
      <w:r w:rsidRPr="0038740A">
        <w:rPr>
          <w:rFonts w:ascii="Arial" w:hAnsi="Arial" w:cs="Arial"/>
          <w:sz w:val="18"/>
          <w:szCs w:val="18"/>
        </w:rPr>
        <w:t xml:space="preserve"> who:  </w:t>
      </w:r>
    </w:p>
    <w:p w14:paraId="74ED60B3" w14:textId="52CB326C" w:rsidR="00162530" w:rsidRPr="0038740A" w:rsidRDefault="00747B4A" w:rsidP="00D27AA1">
      <w:pPr>
        <w:pStyle w:val="ListParagraph"/>
        <w:numPr>
          <w:ilvl w:val="0"/>
          <w:numId w:val="2"/>
        </w:numPr>
        <w:spacing w:line="240" w:lineRule="auto"/>
        <w:rPr>
          <w:rFonts w:ascii="Arial" w:hAnsi="Arial" w:cs="Arial"/>
          <w:sz w:val="18"/>
          <w:szCs w:val="18"/>
        </w:rPr>
      </w:pPr>
      <w:r w:rsidRPr="0038740A">
        <w:rPr>
          <w:rFonts w:ascii="Arial" w:hAnsi="Arial" w:cs="Arial"/>
          <w:sz w:val="18"/>
          <w:szCs w:val="18"/>
        </w:rPr>
        <w:t xml:space="preserve">Are able to pay the premium </w:t>
      </w:r>
      <w:r w:rsidR="003A0952" w:rsidRPr="0038740A">
        <w:rPr>
          <w:rFonts w:ascii="Arial" w:hAnsi="Arial" w:cs="Arial"/>
          <w:sz w:val="18"/>
          <w:szCs w:val="18"/>
        </w:rPr>
        <w:t xml:space="preserve">(inclusive of </w:t>
      </w:r>
      <w:r w:rsidRPr="0038740A">
        <w:rPr>
          <w:rFonts w:ascii="Arial" w:hAnsi="Arial" w:cs="Arial"/>
          <w:sz w:val="18"/>
          <w:szCs w:val="18"/>
        </w:rPr>
        <w:t>applicable taxes</w:t>
      </w:r>
      <w:r w:rsidR="003A0952" w:rsidRPr="0038740A">
        <w:rPr>
          <w:rFonts w:ascii="Arial" w:hAnsi="Arial" w:cs="Arial"/>
          <w:sz w:val="18"/>
          <w:szCs w:val="18"/>
        </w:rPr>
        <w:t>)</w:t>
      </w:r>
      <w:r w:rsidRPr="0038740A">
        <w:rPr>
          <w:rFonts w:ascii="Arial" w:hAnsi="Arial" w:cs="Arial"/>
          <w:sz w:val="18"/>
          <w:szCs w:val="18"/>
        </w:rPr>
        <w:t xml:space="preserve"> for the </w:t>
      </w:r>
      <w:r w:rsidR="003A0952" w:rsidRPr="0038740A">
        <w:rPr>
          <w:rFonts w:ascii="Arial" w:hAnsi="Arial" w:cs="Arial"/>
          <w:sz w:val="18"/>
          <w:szCs w:val="18"/>
        </w:rPr>
        <w:t xml:space="preserve">relevant </w:t>
      </w:r>
      <w:r w:rsidRPr="0038740A">
        <w:rPr>
          <w:rFonts w:ascii="Arial" w:hAnsi="Arial" w:cs="Arial"/>
          <w:sz w:val="18"/>
          <w:szCs w:val="18"/>
        </w:rPr>
        <w:t>period of cove</w:t>
      </w:r>
      <w:r w:rsidR="002D4588" w:rsidRPr="0038740A">
        <w:rPr>
          <w:rFonts w:ascii="Arial" w:hAnsi="Arial" w:cs="Arial"/>
          <w:sz w:val="18"/>
          <w:szCs w:val="18"/>
        </w:rPr>
        <w:t>r</w:t>
      </w:r>
      <w:r w:rsidR="00951DD9" w:rsidRPr="0038740A">
        <w:rPr>
          <w:rFonts w:ascii="Arial" w:hAnsi="Arial" w:cs="Arial"/>
          <w:sz w:val="18"/>
          <w:szCs w:val="18"/>
        </w:rPr>
        <w:t>.</w:t>
      </w:r>
    </w:p>
    <w:p w14:paraId="12CEA1AE" w14:textId="77777777" w:rsidR="000B409F" w:rsidRPr="0038740A" w:rsidRDefault="000B409F" w:rsidP="00D27AA1">
      <w:pPr>
        <w:spacing w:after="0" w:line="240" w:lineRule="auto"/>
        <w:rPr>
          <w:rFonts w:ascii="Arial" w:hAnsi="Arial" w:cs="Arial"/>
          <w:sz w:val="18"/>
          <w:szCs w:val="18"/>
        </w:rPr>
      </w:pPr>
    </w:p>
    <w:p w14:paraId="0FF39C18" w14:textId="1726F46C" w:rsidR="00162530" w:rsidRPr="0038740A" w:rsidRDefault="00162530" w:rsidP="00D27AA1">
      <w:pPr>
        <w:spacing w:after="120" w:line="240" w:lineRule="auto"/>
        <w:rPr>
          <w:rFonts w:ascii="Arial" w:hAnsi="Arial" w:cs="Arial"/>
          <w:b/>
          <w:bCs/>
          <w:sz w:val="18"/>
          <w:szCs w:val="18"/>
        </w:rPr>
      </w:pPr>
      <w:r w:rsidRPr="0038740A">
        <w:rPr>
          <w:rFonts w:ascii="Arial" w:hAnsi="Arial" w:cs="Arial"/>
          <w:b/>
          <w:bCs/>
          <w:sz w:val="18"/>
          <w:szCs w:val="18"/>
        </w:rPr>
        <w:t xml:space="preserve">Consistency </w:t>
      </w:r>
      <w:r w:rsidR="000F2720" w:rsidRPr="0038740A">
        <w:rPr>
          <w:rFonts w:ascii="Arial" w:hAnsi="Arial" w:cs="Arial"/>
          <w:b/>
          <w:bCs/>
          <w:sz w:val="18"/>
          <w:szCs w:val="18"/>
        </w:rPr>
        <w:t xml:space="preserve">with the </w:t>
      </w:r>
      <w:r w:rsidRPr="0038740A">
        <w:rPr>
          <w:rFonts w:ascii="Arial" w:hAnsi="Arial" w:cs="Arial"/>
          <w:b/>
          <w:bCs/>
          <w:sz w:val="18"/>
          <w:szCs w:val="18"/>
        </w:rPr>
        <w:t xml:space="preserve">target market </w:t>
      </w:r>
      <w:r w:rsidR="000F2720" w:rsidRPr="0038740A">
        <w:rPr>
          <w:rFonts w:ascii="Arial" w:hAnsi="Arial" w:cs="Arial"/>
          <w:b/>
          <w:bCs/>
          <w:sz w:val="18"/>
          <w:szCs w:val="18"/>
        </w:rPr>
        <w:softHyphen/>
      </w:r>
      <w:r w:rsidR="000F2720" w:rsidRPr="0038740A">
        <w:rPr>
          <w:rFonts w:ascii="Arial" w:hAnsi="Arial" w:cs="Arial"/>
          <w:b/>
          <w:bCs/>
          <w:sz w:val="18"/>
          <w:szCs w:val="18"/>
        </w:rPr>
        <w:softHyphen/>
      </w:r>
    </w:p>
    <w:p w14:paraId="6CB4A018" w14:textId="4CBEB276" w:rsidR="002D4588" w:rsidRDefault="00F07649" w:rsidP="002D4588">
      <w:pPr>
        <w:spacing w:line="240" w:lineRule="auto"/>
        <w:rPr>
          <w:rFonts w:ascii="Arial" w:hAnsi="Arial" w:cs="Arial"/>
          <w:sz w:val="18"/>
          <w:szCs w:val="18"/>
        </w:rPr>
      </w:pPr>
      <w:r w:rsidRPr="0038740A">
        <w:rPr>
          <w:rFonts w:ascii="Arial" w:hAnsi="Arial" w:cs="Arial"/>
          <w:sz w:val="18"/>
          <w:szCs w:val="18"/>
        </w:rPr>
        <w:t xml:space="preserve">Hiscox thinks that the </w:t>
      </w:r>
      <w:r w:rsidR="00EE5056">
        <w:rPr>
          <w:rFonts w:ascii="Arial" w:hAnsi="Arial" w:cs="Arial"/>
          <w:i/>
          <w:sz w:val="18"/>
          <w:szCs w:val="18"/>
        </w:rPr>
        <w:t>Art Dealers ADX21</w:t>
      </w:r>
      <w:r w:rsidRPr="0038740A">
        <w:rPr>
          <w:rFonts w:ascii="Arial" w:hAnsi="Arial" w:cs="Arial"/>
          <w:sz w:val="18"/>
          <w:szCs w:val="18"/>
        </w:rPr>
        <w:t xml:space="preserve"> is consistent with the target market and will likely meet the needs of those in the target market. This is because the target market consists solely of</w:t>
      </w:r>
      <w:r w:rsidR="006B0B1B">
        <w:rPr>
          <w:rFonts w:ascii="Arial" w:hAnsi="Arial" w:cs="Arial"/>
          <w:sz w:val="18"/>
          <w:szCs w:val="18"/>
        </w:rPr>
        <w:t xml:space="preserve"> </w:t>
      </w:r>
      <w:r w:rsidR="00EE5056">
        <w:rPr>
          <w:rFonts w:ascii="Arial" w:hAnsi="Arial" w:cs="Arial"/>
          <w:sz w:val="18"/>
          <w:szCs w:val="18"/>
        </w:rPr>
        <w:t>dealers, sellers or distributors of art and collectibles</w:t>
      </w:r>
      <w:r w:rsidRPr="0038740A">
        <w:rPr>
          <w:rFonts w:ascii="Arial" w:hAnsi="Arial" w:cs="Arial"/>
          <w:sz w:val="18"/>
          <w:szCs w:val="18"/>
        </w:rPr>
        <w:t xml:space="preserve"> and the </w:t>
      </w:r>
      <w:r w:rsidR="00EE5056">
        <w:rPr>
          <w:rFonts w:ascii="Arial" w:hAnsi="Arial" w:cs="Arial"/>
          <w:i/>
          <w:sz w:val="18"/>
          <w:szCs w:val="18"/>
        </w:rPr>
        <w:t>Art Dealers ADX21</w:t>
      </w:r>
      <w:r w:rsidRPr="0038740A">
        <w:rPr>
          <w:rFonts w:ascii="Arial" w:hAnsi="Arial" w:cs="Arial"/>
          <w:sz w:val="18"/>
          <w:szCs w:val="18"/>
        </w:rPr>
        <w:t xml:space="preserve"> provides cover for physical loss or damage </w:t>
      </w:r>
      <w:r w:rsidR="003A0952" w:rsidRPr="0038740A">
        <w:rPr>
          <w:rFonts w:ascii="Arial" w:hAnsi="Arial" w:cs="Arial"/>
          <w:sz w:val="18"/>
          <w:szCs w:val="18"/>
        </w:rPr>
        <w:t>to</w:t>
      </w:r>
      <w:r w:rsidRPr="0038740A">
        <w:rPr>
          <w:rFonts w:ascii="Arial" w:hAnsi="Arial" w:cs="Arial"/>
          <w:sz w:val="18"/>
          <w:szCs w:val="18"/>
        </w:rPr>
        <w:t xml:space="preserve"> </w:t>
      </w:r>
      <w:r w:rsidR="00911AB6">
        <w:rPr>
          <w:rFonts w:ascii="Arial" w:hAnsi="Arial" w:cs="Arial"/>
          <w:sz w:val="18"/>
          <w:szCs w:val="18"/>
        </w:rPr>
        <w:t>stock and contents</w:t>
      </w:r>
      <w:r w:rsidRPr="0038740A">
        <w:rPr>
          <w:rFonts w:ascii="Arial" w:hAnsi="Arial" w:cs="Arial"/>
          <w:sz w:val="18"/>
          <w:szCs w:val="18"/>
        </w:rPr>
        <w:t xml:space="preserve"> </w:t>
      </w:r>
      <w:r w:rsidR="003A0952" w:rsidRPr="0038740A">
        <w:rPr>
          <w:rFonts w:ascii="Arial" w:hAnsi="Arial" w:cs="Arial"/>
          <w:sz w:val="18"/>
          <w:szCs w:val="18"/>
        </w:rPr>
        <w:t>d</w:t>
      </w:r>
      <w:r w:rsidRPr="0038740A">
        <w:rPr>
          <w:rFonts w:ascii="Arial" w:hAnsi="Arial" w:cs="Arial"/>
          <w:sz w:val="18"/>
          <w:szCs w:val="18"/>
        </w:rPr>
        <w:t>uring the period of insurance.</w:t>
      </w:r>
    </w:p>
    <w:p w14:paraId="4C3060E2" w14:textId="77777777" w:rsidR="00A5492B" w:rsidRPr="0038740A" w:rsidRDefault="00A5492B" w:rsidP="002D4588">
      <w:pPr>
        <w:spacing w:line="240" w:lineRule="auto"/>
        <w:rPr>
          <w:rFonts w:ascii="Arial" w:hAnsi="Arial" w:cs="Arial"/>
          <w:sz w:val="18"/>
          <w:szCs w:val="18"/>
        </w:rPr>
      </w:pPr>
    </w:p>
    <w:p w14:paraId="2103F0D4" w14:textId="37B8FA5D" w:rsidR="001D00AE" w:rsidRPr="0038740A" w:rsidRDefault="001D00AE" w:rsidP="00D27AA1">
      <w:pPr>
        <w:pStyle w:val="ListParagraph"/>
        <w:numPr>
          <w:ilvl w:val="0"/>
          <w:numId w:val="1"/>
        </w:numPr>
        <w:spacing w:after="120" w:line="240" w:lineRule="auto"/>
        <w:ind w:left="567" w:hanging="567"/>
        <w:rPr>
          <w:rFonts w:ascii="Arial" w:hAnsi="Arial" w:cs="Arial"/>
          <w:b/>
          <w:bCs/>
          <w:sz w:val="18"/>
          <w:szCs w:val="18"/>
        </w:rPr>
      </w:pPr>
      <w:r w:rsidRPr="0038740A">
        <w:rPr>
          <w:rFonts w:ascii="Arial" w:hAnsi="Arial" w:cs="Arial"/>
          <w:b/>
          <w:bCs/>
          <w:sz w:val="18"/>
          <w:szCs w:val="18"/>
        </w:rPr>
        <w:t>How this product is to be distributed</w:t>
      </w:r>
    </w:p>
    <w:p w14:paraId="07671E74" w14:textId="5A4DAFEB" w:rsidR="0095794F" w:rsidRPr="0038740A" w:rsidRDefault="00DF2548" w:rsidP="00D27AA1">
      <w:pPr>
        <w:spacing w:after="120" w:line="240" w:lineRule="auto"/>
        <w:rPr>
          <w:rFonts w:ascii="Arial" w:hAnsi="Arial" w:cs="Arial"/>
          <w:b/>
          <w:bCs/>
          <w:sz w:val="18"/>
          <w:szCs w:val="18"/>
        </w:rPr>
      </w:pPr>
      <w:r w:rsidRPr="0038740A">
        <w:rPr>
          <w:rFonts w:ascii="Arial" w:hAnsi="Arial" w:cs="Arial"/>
          <w:b/>
          <w:bCs/>
          <w:sz w:val="18"/>
          <w:szCs w:val="18"/>
        </w:rPr>
        <w:t>Distribution channels</w:t>
      </w:r>
    </w:p>
    <w:p w14:paraId="1A07F4F3" w14:textId="3FDEE122" w:rsidR="0095794F" w:rsidRPr="0038740A" w:rsidRDefault="003A0952" w:rsidP="00D27AA1">
      <w:pPr>
        <w:spacing w:line="240" w:lineRule="auto"/>
        <w:rPr>
          <w:rStyle w:val="normaltextrun"/>
          <w:rFonts w:ascii="Arial" w:hAnsi="Arial" w:cs="Arial"/>
          <w:sz w:val="18"/>
          <w:szCs w:val="18"/>
          <w:bdr w:val="none" w:sz="0" w:space="0" w:color="auto" w:frame="1"/>
        </w:rPr>
      </w:pPr>
      <w:r w:rsidRPr="0038740A">
        <w:rPr>
          <w:rStyle w:val="normaltextrun"/>
          <w:rFonts w:ascii="Arial" w:hAnsi="Arial" w:cs="Arial"/>
          <w:sz w:val="18"/>
          <w:szCs w:val="18"/>
          <w:bdr w:val="none" w:sz="0" w:space="0" w:color="auto" w:frame="1"/>
        </w:rPr>
        <w:t xml:space="preserve">The </w:t>
      </w:r>
      <w:r w:rsidR="00EE5056">
        <w:rPr>
          <w:rFonts w:ascii="Arial" w:hAnsi="Arial" w:cs="Arial"/>
          <w:i/>
          <w:sz w:val="18"/>
          <w:szCs w:val="18"/>
        </w:rPr>
        <w:t>Art Dealers ADX21</w:t>
      </w:r>
      <w:r w:rsidR="00AB191F" w:rsidRPr="0038740A">
        <w:rPr>
          <w:rStyle w:val="normaltextrun"/>
          <w:rFonts w:ascii="Arial" w:hAnsi="Arial" w:cs="Arial"/>
          <w:sz w:val="18"/>
          <w:szCs w:val="18"/>
          <w:bdr w:val="none" w:sz="0" w:space="0" w:color="auto" w:frame="1"/>
        </w:rPr>
        <w:t xml:space="preserve"> is designed to be distributed through the following means: </w:t>
      </w:r>
    </w:p>
    <w:p w14:paraId="4F0221DA" w14:textId="34DA1978" w:rsidR="00AB191F" w:rsidRPr="0038740A" w:rsidRDefault="00EE084D" w:rsidP="00D27AA1">
      <w:pPr>
        <w:pStyle w:val="ListParagraph"/>
        <w:numPr>
          <w:ilvl w:val="0"/>
          <w:numId w:val="2"/>
        </w:numPr>
        <w:spacing w:line="240" w:lineRule="auto"/>
        <w:rPr>
          <w:rFonts w:ascii="Arial" w:hAnsi="Arial" w:cs="Arial"/>
          <w:sz w:val="18"/>
          <w:szCs w:val="18"/>
        </w:rPr>
      </w:pPr>
      <w:r w:rsidRPr="0038740A">
        <w:rPr>
          <w:rStyle w:val="normaltextrun"/>
          <w:rFonts w:ascii="Arial" w:hAnsi="Arial" w:cs="Arial"/>
          <w:sz w:val="18"/>
          <w:szCs w:val="18"/>
          <w:shd w:val="clear" w:color="auto" w:fill="FFFFFF"/>
        </w:rPr>
        <w:t>Through Hiscox approved r</w:t>
      </w:r>
      <w:r w:rsidR="007C0D12" w:rsidRPr="0038740A">
        <w:rPr>
          <w:rStyle w:val="normaltextrun"/>
          <w:rFonts w:ascii="Arial" w:hAnsi="Arial" w:cs="Arial"/>
          <w:sz w:val="18"/>
          <w:szCs w:val="18"/>
          <w:shd w:val="clear" w:color="auto" w:fill="FFFFFF"/>
        </w:rPr>
        <w:t>etail and wholesale brokers</w:t>
      </w:r>
      <w:r w:rsidRPr="0038740A">
        <w:rPr>
          <w:rStyle w:val="normaltextrun"/>
          <w:rFonts w:ascii="Arial" w:hAnsi="Arial" w:cs="Arial"/>
          <w:sz w:val="18"/>
          <w:szCs w:val="18"/>
          <w:shd w:val="clear" w:color="auto" w:fill="FFFFFF"/>
        </w:rPr>
        <w:t>.</w:t>
      </w:r>
    </w:p>
    <w:p w14:paraId="400127F8" w14:textId="30307D0C" w:rsidR="0095794F" w:rsidRPr="0038740A" w:rsidRDefault="0095794F" w:rsidP="00D27AA1">
      <w:pPr>
        <w:spacing w:after="0" w:line="240" w:lineRule="auto"/>
        <w:rPr>
          <w:rFonts w:ascii="Arial" w:hAnsi="Arial" w:cs="Arial"/>
          <w:b/>
          <w:bCs/>
          <w:sz w:val="18"/>
          <w:szCs w:val="18"/>
        </w:rPr>
      </w:pPr>
    </w:p>
    <w:p w14:paraId="4F3A05E8" w14:textId="398FF6ED" w:rsidR="00AB191F" w:rsidRPr="0038740A" w:rsidRDefault="00AB191F" w:rsidP="00D27AA1">
      <w:pPr>
        <w:spacing w:after="120" w:line="240" w:lineRule="auto"/>
        <w:rPr>
          <w:rFonts w:ascii="Arial" w:hAnsi="Arial" w:cs="Arial"/>
          <w:b/>
          <w:bCs/>
          <w:sz w:val="18"/>
          <w:szCs w:val="18"/>
        </w:rPr>
      </w:pPr>
      <w:r w:rsidRPr="0038740A">
        <w:rPr>
          <w:rFonts w:ascii="Arial" w:hAnsi="Arial" w:cs="Arial"/>
          <w:b/>
          <w:bCs/>
          <w:sz w:val="18"/>
          <w:szCs w:val="18"/>
        </w:rPr>
        <w:t>Distribution conditions</w:t>
      </w:r>
    </w:p>
    <w:p w14:paraId="6300B99D" w14:textId="17519FC9" w:rsidR="00AB191F" w:rsidRPr="0038740A" w:rsidRDefault="003A0952" w:rsidP="00D27AA1">
      <w:pPr>
        <w:spacing w:after="0" w:line="240" w:lineRule="auto"/>
        <w:rPr>
          <w:rStyle w:val="normaltextrun"/>
          <w:rFonts w:ascii="Arial" w:hAnsi="Arial" w:cs="Arial"/>
          <w:sz w:val="18"/>
          <w:szCs w:val="18"/>
          <w:bdr w:val="none" w:sz="0" w:space="0" w:color="auto" w:frame="1"/>
        </w:rPr>
      </w:pPr>
      <w:r w:rsidRPr="0038740A">
        <w:rPr>
          <w:rStyle w:val="normaltextrun"/>
          <w:rFonts w:ascii="Arial" w:hAnsi="Arial" w:cs="Arial"/>
          <w:sz w:val="18"/>
          <w:szCs w:val="18"/>
          <w:bdr w:val="none" w:sz="0" w:space="0" w:color="auto" w:frame="1"/>
        </w:rPr>
        <w:t xml:space="preserve">The </w:t>
      </w:r>
      <w:r w:rsidR="00EE5056">
        <w:rPr>
          <w:rFonts w:ascii="Arial" w:hAnsi="Arial" w:cs="Arial"/>
          <w:i/>
          <w:sz w:val="18"/>
          <w:szCs w:val="18"/>
        </w:rPr>
        <w:t>Art Dealers ADX21</w:t>
      </w:r>
      <w:r w:rsidR="000C0A80" w:rsidRPr="0038740A">
        <w:rPr>
          <w:rStyle w:val="normaltextrun"/>
          <w:rFonts w:ascii="Arial" w:hAnsi="Arial" w:cs="Arial"/>
          <w:sz w:val="18"/>
          <w:szCs w:val="18"/>
          <w:bdr w:val="none" w:sz="0" w:space="0" w:color="auto" w:frame="1"/>
        </w:rPr>
        <w:t xml:space="preserve"> should only be distributed under the following circumstances: </w:t>
      </w:r>
    </w:p>
    <w:p w14:paraId="3DC99075" w14:textId="77777777" w:rsidR="007C0D12" w:rsidRPr="0038740A" w:rsidRDefault="007C0D12" w:rsidP="00D27AA1">
      <w:pPr>
        <w:spacing w:after="0" w:line="240" w:lineRule="auto"/>
        <w:rPr>
          <w:rFonts w:ascii="Arial" w:hAnsi="Arial" w:cs="Arial"/>
          <w:b/>
          <w:bCs/>
          <w:sz w:val="18"/>
          <w:szCs w:val="18"/>
        </w:rPr>
      </w:pPr>
    </w:p>
    <w:p w14:paraId="4EB3D638" w14:textId="23E8B199" w:rsidR="003A0952" w:rsidRPr="0038740A" w:rsidRDefault="000F2720" w:rsidP="000F2720">
      <w:pPr>
        <w:pStyle w:val="ListParagraph"/>
        <w:numPr>
          <w:ilvl w:val="0"/>
          <w:numId w:val="8"/>
        </w:numPr>
        <w:spacing w:after="0" w:line="240" w:lineRule="auto"/>
        <w:rPr>
          <w:rFonts w:ascii="Arial" w:hAnsi="Arial" w:cs="Arial"/>
          <w:sz w:val="18"/>
          <w:szCs w:val="18"/>
        </w:rPr>
      </w:pPr>
      <w:r w:rsidRPr="0038740A">
        <w:rPr>
          <w:rFonts w:ascii="Arial" w:hAnsi="Arial" w:cs="Arial"/>
          <w:sz w:val="18"/>
          <w:szCs w:val="18"/>
        </w:rPr>
        <w:t xml:space="preserve">via experienced fine art brokers who have a </w:t>
      </w:r>
      <w:r w:rsidR="003A0952" w:rsidRPr="0038740A">
        <w:rPr>
          <w:rFonts w:ascii="Arial" w:hAnsi="Arial" w:cs="Arial"/>
          <w:sz w:val="18"/>
          <w:szCs w:val="18"/>
        </w:rPr>
        <w:t>demonstrably</w:t>
      </w:r>
      <w:r w:rsidRPr="0038740A">
        <w:rPr>
          <w:rFonts w:ascii="Arial" w:hAnsi="Arial" w:cs="Arial"/>
          <w:sz w:val="18"/>
          <w:szCs w:val="18"/>
        </w:rPr>
        <w:t xml:space="preserve"> clear understanding of the target consumer demographic and </w:t>
      </w:r>
      <w:r w:rsidR="003A0952" w:rsidRPr="0038740A">
        <w:rPr>
          <w:rFonts w:ascii="Arial" w:hAnsi="Arial" w:cs="Arial"/>
          <w:sz w:val="18"/>
          <w:szCs w:val="18"/>
        </w:rPr>
        <w:t>who are suitably qualified to collect each customer’s information and assess that information.</w:t>
      </w:r>
    </w:p>
    <w:p w14:paraId="6CC2A6F6" w14:textId="77777777" w:rsidR="003A0952" w:rsidRPr="0038740A" w:rsidRDefault="003A0952" w:rsidP="003A0952">
      <w:pPr>
        <w:spacing w:after="0" w:line="240" w:lineRule="auto"/>
        <w:ind w:left="360"/>
        <w:rPr>
          <w:rFonts w:ascii="Arial" w:hAnsi="Arial" w:cs="Arial"/>
          <w:sz w:val="18"/>
          <w:szCs w:val="18"/>
        </w:rPr>
      </w:pPr>
    </w:p>
    <w:p w14:paraId="5B6576FC" w14:textId="12B3FB94" w:rsidR="000F2720" w:rsidRPr="0038740A" w:rsidRDefault="003A0952" w:rsidP="00C679C0">
      <w:pPr>
        <w:spacing w:after="0" w:line="240" w:lineRule="auto"/>
        <w:ind w:left="360"/>
        <w:rPr>
          <w:rFonts w:ascii="Arial" w:hAnsi="Arial" w:cs="Arial"/>
          <w:sz w:val="18"/>
          <w:szCs w:val="18"/>
        </w:rPr>
      </w:pPr>
      <w:r w:rsidRPr="0038740A">
        <w:rPr>
          <w:rFonts w:ascii="Arial" w:hAnsi="Arial" w:cs="Arial"/>
          <w:sz w:val="18"/>
          <w:szCs w:val="18"/>
        </w:rPr>
        <w:t xml:space="preserve"> </w:t>
      </w:r>
    </w:p>
    <w:p w14:paraId="6E49F490" w14:textId="4BCB08DF" w:rsidR="0005794A" w:rsidRPr="0038740A" w:rsidRDefault="000F2720" w:rsidP="000F2720">
      <w:pPr>
        <w:spacing w:after="0" w:line="240" w:lineRule="auto"/>
        <w:rPr>
          <w:rFonts w:ascii="Arial" w:hAnsi="Arial" w:cs="Arial"/>
          <w:sz w:val="18"/>
          <w:szCs w:val="18"/>
        </w:rPr>
      </w:pPr>
      <w:r w:rsidRPr="0038740A">
        <w:rPr>
          <w:rFonts w:ascii="Arial" w:hAnsi="Arial" w:cs="Arial"/>
          <w:sz w:val="18"/>
          <w:szCs w:val="18"/>
        </w:rPr>
        <w:t>The distribution conditions will make it likely that customers</w:t>
      </w:r>
      <w:r w:rsidR="00EE5056">
        <w:rPr>
          <w:rFonts w:ascii="Arial" w:hAnsi="Arial" w:cs="Arial"/>
          <w:sz w:val="18"/>
          <w:szCs w:val="18"/>
        </w:rPr>
        <w:t xml:space="preserve"> (both consumer and non-consumer)</w:t>
      </w:r>
      <w:r w:rsidRPr="0038740A">
        <w:rPr>
          <w:rFonts w:ascii="Arial" w:hAnsi="Arial" w:cs="Arial"/>
          <w:sz w:val="18"/>
          <w:szCs w:val="18"/>
        </w:rPr>
        <w:t xml:space="preserve"> who acquire the product are in the target market because </w:t>
      </w:r>
      <w:r w:rsidR="0005794A" w:rsidRPr="0038740A">
        <w:rPr>
          <w:rFonts w:ascii="Arial" w:hAnsi="Arial" w:cs="Arial"/>
          <w:sz w:val="18"/>
          <w:szCs w:val="18"/>
        </w:rPr>
        <w:t>the experience</w:t>
      </w:r>
      <w:r w:rsidR="003A0952" w:rsidRPr="0038740A">
        <w:rPr>
          <w:rFonts w:ascii="Arial" w:hAnsi="Arial" w:cs="Arial"/>
          <w:sz w:val="18"/>
          <w:szCs w:val="18"/>
        </w:rPr>
        <w:t>d</w:t>
      </w:r>
      <w:r w:rsidR="0005794A" w:rsidRPr="0038740A">
        <w:rPr>
          <w:rFonts w:ascii="Arial" w:hAnsi="Arial" w:cs="Arial"/>
          <w:sz w:val="18"/>
          <w:szCs w:val="18"/>
        </w:rPr>
        <w:t xml:space="preserve"> fine art brokers </w:t>
      </w:r>
      <w:r w:rsidR="003A0952" w:rsidRPr="0038740A">
        <w:rPr>
          <w:rFonts w:ascii="Arial" w:hAnsi="Arial" w:cs="Arial"/>
          <w:sz w:val="18"/>
          <w:szCs w:val="18"/>
        </w:rPr>
        <w:t>can</w:t>
      </w:r>
      <w:r w:rsidR="00AB40A1" w:rsidRPr="0038740A">
        <w:rPr>
          <w:rFonts w:ascii="Arial" w:hAnsi="Arial" w:cs="Arial"/>
          <w:sz w:val="18"/>
          <w:szCs w:val="18"/>
        </w:rPr>
        <w:t xml:space="preserve"> assess the information they have collected</w:t>
      </w:r>
      <w:r w:rsidR="003A0952" w:rsidRPr="0038740A">
        <w:rPr>
          <w:rFonts w:ascii="Arial" w:hAnsi="Arial" w:cs="Arial"/>
          <w:sz w:val="18"/>
          <w:szCs w:val="18"/>
        </w:rPr>
        <w:t xml:space="preserve"> to determine the customer’s objectives and financial situation, and ultimately, their individual insurance needs.</w:t>
      </w:r>
      <w:r w:rsidR="00AB40A1" w:rsidRPr="0038740A">
        <w:rPr>
          <w:rFonts w:ascii="Arial" w:hAnsi="Arial" w:cs="Arial"/>
          <w:sz w:val="18"/>
          <w:szCs w:val="18"/>
        </w:rPr>
        <w:t xml:space="preserve"> </w:t>
      </w:r>
      <w:r w:rsidR="0005794A" w:rsidRPr="0038740A">
        <w:rPr>
          <w:rFonts w:ascii="Arial" w:hAnsi="Arial" w:cs="Arial"/>
          <w:sz w:val="18"/>
          <w:szCs w:val="18"/>
        </w:rPr>
        <w:t xml:space="preserve">Furthermore Hiscox undertakes annual audits during which the suitability of customers who acquire the product is monitored. </w:t>
      </w:r>
    </w:p>
    <w:p w14:paraId="5555D7B4" w14:textId="77777777" w:rsidR="0005794A" w:rsidRPr="0038740A" w:rsidRDefault="0005794A" w:rsidP="000F2720">
      <w:pPr>
        <w:spacing w:after="0" w:line="240" w:lineRule="auto"/>
        <w:rPr>
          <w:rFonts w:ascii="Arial" w:hAnsi="Arial" w:cs="Arial"/>
          <w:sz w:val="18"/>
          <w:szCs w:val="18"/>
        </w:rPr>
      </w:pPr>
    </w:p>
    <w:p w14:paraId="3E56183F" w14:textId="77777777" w:rsidR="00CD73AC" w:rsidRPr="0038740A" w:rsidRDefault="00CD73AC" w:rsidP="00D27AA1">
      <w:pPr>
        <w:spacing w:after="0" w:line="240" w:lineRule="auto"/>
        <w:rPr>
          <w:rFonts w:ascii="Arial" w:hAnsi="Arial" w:cs="Arial"/>
          <w:b/>
          <w:bCs/>
          <w:sz w:val="18"/>
          <w:szCs w:val="18"/>
        </w:rPr>
      </w:pPr>
    </w:p>
    <w:p w14:paraId="4E6987C5" w14:textId="5A1BCFD2" w:rsidR="001D00AE" w:rsidRPr="0038740A" w:rsidRDefault="00467EE9" w:rsidP="00D27AA1">
      <w:pPr>
        <w:pStyle w:val="ListParagraph"/>
        <w:numPr>
          <w:ilvl w:val="0"/>
          <w:numId w:val="1"/>
        </w:numPr>
        <w:spacing w:after="120" w:line="240" w:lineRule="auto"/>
        <w:ind w:left="567" w:hanging="567"/>
        <w:rPr>
          <w:rFonts w:ascii="Arial" w:hAnsi="Arial" w:cs="Arial"/>
          <w:b/>
          <w:bCs/>
          <w:sz w:val="18"/>
          <w:szCs w:val="18"/>
        </w:rPr>
      </w:pPr>
      <w:r w:rsidRPr="0038740A">
        <w:rPr>
          <w:rFonts w:ascii="Arial" w:hAnsi="Arial" w:cs="Arial"/>
          <w:b/>
          <w:bCs/>
          <w:sz w:val="18"/>
          <w:szCs w:val="18"/>
        </w:rPr>
        <w:t xml:space="preserve">Reviewing this target market determination </w:t>
      </w:r>
    </w:p>
    <w:p w14:paraId="1F239040" w14:textId="2A74F010" w:rsidR="006164DE" w:rsidRPr="0038740A" w:rsidRDefault="00467EE9" w:rsidP="00D27AA1">
      <w:pPr>
        <w:spacing w:line="240" w:lineRule="auto"/>
        <w:rPr>
          <w:rFonts w:ascii="Arial" w:hAnsi="Arial" w:cs="Arial"/>
          <w:sz w:val="18"/>
          <w:szCs w:val="18"/>
        </w:rPr>
      </w:pPr>
      <w:r w:rsidRPr="0038740A">
        <w:rPr>
          <w:rFonts w:ascii="Arial" w:hAnsi="Arial" w:cs="Arial"/>
          <w:sz w:val="18"/>
          <w:szCs w:val="18"/>
        </w:rPr>
        <w:t>We will review this target market determination in accordance with the below:</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CellMar>
          <w:top w:w="28" w:type="dxa"/>
          <w:left w:w="57" w:type="dxa"/>
          <w:bottom w:w="28" w:type="dxa"/>
          <w:right w:w="57" w:type="dxa"/>
        </w:tblCellMar>
        <w:tblLook w:val="04A0" w:firstRow="1" w:lastRow="0" w:firstColumn="1" w:lastColumn="0" w:noHBand="0" w:noVBand="1"/>
      </w:tblPr>
      <w:tblGrid>
        <w:gridCol w:w="1838"/>
        <w:gridCol w:w="8074"/>
      </w:tblGrid>
      <w:tr w:rsidR="0038740A" w:rsidRPr="0038740A" w14:paraId="4C91ACC7" w14:textId="77777777" w:rsidTr="005E2F82">
        <w:trPr>
          <w:trHeight w:val="488"/>
        </w:trPr>
        <w:tc>
          <w:tcPr>
            <w:tcW w:w="1838" w:type="dxa"/>
          </w:tcPr>
          <w:p w14:paraId="29D0DE3A" w14:textId="293FBD60" w:rsidR="00612FE8" w:rsidRPr="0038740A" w:rsidRDefault="00612FE8" w:rsidP="00D27AA1">
            <w:pPr>
              <w:rPr>
                <w:rFonts w:ascii="Arial" w:hAnsi="Arial" w:cs="Arial"/>
                <w:b/>
                <w:bCs/>
                <w:sz w:val="18"/>
                <w:szCs w:val="18"/>
              </w:rPr>
            </w:pPr>
            <w:r w:rsidRPr="0038740A">
              <w:rPr>
                <w:rFonts w:ascii="Arial" w:hAnsi="Arial" w:cs="Arial"/>
                <w:b/>
                <w:bCs/>
                <w:sz w:val="18"/>
                <w:szCs w:val="18"/>
              </w:rPr>
              <w:t>Initial review</w:t>
            </w:r>
          </w:p>
        </w:tc>
        <w:tc>
          <w:tcPr>
            <w:tcW w:w="8074" w:type="dxa"/>
          </w:tcPr>
          <w:p w14:paraId="4CEA1E1A" w14:textId="1501EDAF" w:rsidR="00612FE8" w:rsidRPr="0038740A" w:rsidRDefault="00714527" w:rsidP="00D27AA1">
            <w:pPr>
              <w:rPr>
                <w:rFonts w:ascii="Arial" w:hAnsi="Arial" w:cs="Arial"/>
                <w:sz w:val="18"/>
                <w:szCs w:val="18"/>
              </w:rPr>
            </w:pPr>
            <w:r w:rsidRPr="0038740A">
              <w:rPr>
                <w:rFonts w:ascii="Arial" w:hAnsi="Arial" w:cs="Arial"/>
                <w:sz w:val="18"/>
                <w:szCs w:val="18"/>
              </w:rPr>
              <w:t xml:space="preserve">Within </w:t>
            </w:r>
            <w:r w:rsidR="00320AB4" w:rsidRPr="0038740A">
              <w:rPr>
                <w:rFonts w:ascii="Arial" w:hAnsi="Arial" w:cs="Arial"/>
                <w:sz w:val="18"/>
                <w:szCs w:val="18"/>
              </w:rPr>
              <w:t>five</w:t>
            </w:r>
            <w:r w:rsidR="005B4DEE" w:rsidRPr="0038740A">
              <w:rPr>
                <w:rFonts w:ascii="Arial" w:hAnsi="Arial" w:cs="Arial"/>
                <w:sz w:val="18"/>
                <w:szCs w:val="18"/>
              </w:rPr>
              <w:t xml:space="preserve"> years</w:t>
            </w:r>
            <w:r w:rsidRPr="0038740A">
              <w:rPr>
                <w:rFonts w:ascii="Arial" w:hAnsi="Arial" w:cs="Arial"/>
                <w:sz w:val="18"/>
                <w:szCs w:val="18"/>
              </w:rPr>
              <w:t xml:space="preserve"> of the effective date. </w:t>
            </w:r>
          </w:p>
        </w:tc>
      </w:tr>
      <w:tr w:rsidR="0038740A" w:rsidRPr="0038740A" w14:paraId="0F20D24E" w14:textId="77777777" w:rsidTr="005E2F82">
        <w:trPr>
          <w:trHeight w:val="488"/>
        </w:trPr>
        <w:tc>
          <w:tcPr>
            <w:tcW w:w="1838" w:type="dxa"/>
          </w:tcPr>
          <w:p w14:paraId="0B9E2643" w14:textId="4828D9F1" w:rsidR="00612FE8" w:rsidRPr="0038740A" w:rsidRDefault="00612FE8" w:rsidP="00D27AA1">
            <w:pPr>
              <w:rPr>
                <w:rFonts w:ascii="Arial" w:hAnsi="Arial" w:cs="Arial"/>
                <w:b/>
                <w:bCs/>
                <w:sz w:val="18"/>
                <w:szCs w:val="18"/>
              </w:rPr>
            </w:pPr>
            <w:r w:rsidRPr="0038740A">
              <w:rPr>
                <w:rFonts w:ascii="Arial" w:hAnsi="Arial" w:cs="Arial"/>
                <w:b/>
                <w:bCs/>
                <w:sz w:val="18"/>
                <w:szCs w:val="18"/>
              </w:rPr>
              <w:t>Periodic reviews</w:t>
            </w:r>
          </w:p>
        </w:tc>
        <w:tc>
          <w:tcPr>
            <w:tcW w:w="8074" w:type="dxa"/>
          </w:tcPr>
          <w:p w14:paraId="4D2E9542" w14:textId="06081783" w:rsidR="00612FE8" w:rsidRPr="0038740A" w:rsidRDefault="00714527" w:rsidP="00D27AA1">
            <w:pPr>
              <w:rPr>
                <w:rFonts w:ascii="Arial" w:hAnsi="Arial" w:cs="Arial"/>
                <w:sz w:val="18"/>
                <w:szCs w:val="18"/>
              </w:rPr>
            </w:pPr>
            <w:r w:rsidRPr="0038740A">
              <w:rPr>
                <w:rFonts w:ascii="Arial" w:hAnsi="Arial" w:cs="Arial"/>
                <w:sz w:val="18"/>
                <w:szCs w:val="18"/>
              </w:rPr>
              <w:t xml:space="preserve">At least every </w:t>
            </w:r>
            <w:r w:rsidR="00320AB4" w:rsidRPr="0038740A">
              <w:rPr>
                <w:rFonts w:ascii="Arial" w:hAnsi="Arial" w:cs="Arial"/>
                <w:sz w:val="18"/>
                <w:szCs w:val="18"/>
              </w:rPr>
              <w:t>five</w:t>
            </w:r>
            <w:r w:rsidR="005B4DEE" w:rsidRPr="0038740A">
              <w:rPr>
                <w:rFonts w:ascii="Arial" w:hAnsi="Arial" w:cs="Arial"/>
                <w:sz w:val="18"/>
                <w:szCs w:val="18"/>
              </w:rPr>
              <w:t xml:space="preserve"> </w:t>
            </w:r>
            <w:r w:rsidRPr="0038740A">
              <w:rPr>
                <w:rFonts w:ascii="Arial" w:hAnsi="Arial" w:cs="Arial"/>
                <w:sz w:val="18"/>
                <w:szCs w:val="18"/>
              </w:rPr>
              <w:t>years from the initial review.</w:t>
            </w:r>
          </w:p>
        </w:tc>
      </w:tr>
      <w:tr w:rsidR="00A5492B" w:rsidRPr="0038740A" w14:paraId="1B5F8BF9" w14:textId="77777777" w:rsidTr="005E2F82">
        <w:tc>
          <w:tcPr>
            <w:tcW w:w="1838" w:type="dxa"/>
          </w:tcPr>
          <w:p w14:paraId="7930BF31" w14:textId="5502FF05" w:rsidR="00612FE8" w:rsidRPr="0038740A" w:rsidRDefault="00612FE8" w:rsidP="00D27AA1">
            <w:pPr>
              <w:rPr>
                <w:rFonts w:ascii="Arial" w:hAnsi="Arial" w:cs="Arial"/>
                <w:b/>
                <w:bCs/>
                <w:sz w:val="18"/>
                <w:szCs w:val="18"/>
              </w:rPr>
            </w:pPr>
            <w:r w:rsidRPr="0038740A">
              <w:rPr>
                <w:rFonts w:ascii="Arial" w:hAnsi="Arial" w:cs="Arial"/>
                <w:b/>
                <w:bCs/>
                <w:sz w:val="18"/>
                <w:szCs w:val="18"/>
              </w:rPr>
              <w:t>Review triggers or events</w:t>
            </w:r>
          </w:p>
        </w:tc>
        <w:tc>
          <w:tcPr>
            <w:tcW w:w="8074" w:type="dxa"/>
          </w:tcPr>
          <w:p w14:paraId="507D0C29" w14:textId="77777777" w:rsidR="00B4711D" w:rsidRPr="0038740A" w:rsidRDefault="00B4711D" w:rsidP="00D27AA1">
            <w:pPr>
              <w:rPr>
                <w:rFonts w:ascii="Arial" w:hAnsi="Arial" w:cs="Arial"/>
                <w:sz w:val="18"/>
                <w:szCs w:val="18"/>
              </w:rPr>
            </w:pPr>
            <w:r w:rsidRPr="0038740A">
              <w:rPr>
                <w:rFonts w:ascii="Arial" w:hAnsi="Arial" w:cs="Arial"/>
                <w:sz w:val="18"/>
                <w:szCs w:val="18"/>
              </w:rPr>
              <w:t xml:space="preserve">Any event or circumstances arise that would suggest the TMD is no longer appropriate. This may include (but not limited):   </w:t>
            </w:r>
          </w:p>
          <w:p w14:paraId="68487255" w14:textId="77777777" w:rsidR="00B4711D" w:rsidRPr="0038740A" w:rsidRDefault="00B4711D" w:rsidP="00D27AA1">
            <w:pPr>
              <w:rPr>
                <w:rFonts w:ascii="Arial" w:hAnsi="Arial" w:cs="Arial"/>
                <w:sz w:val="18"/>
                <w:szCs w:val="18"/>
              </w:rPr>
            </w:pPr>
          </w:p>
          <w:p w14:paraId="604A0903" w14:textId="77777777" w:rsidR="00B4711D" w:rsidRPr="0038740A" w:rsidRDefault="00B4711D" w:rsidP="00D27AA1">
            <w:pPr>
              <w:pStyle w:val="ListParagraph"/>
              <w:numPr>
                <w:ilvl w:val="0"/>
                <w:numId w:val="3"/>
              </w:numPr>
              <w:rPr>
                <w:rFonts w:ascii="Arial" w:hAnsi="Arial" w:cs="Arial"/>
                <w:sz w:val="18"/>
                <w:szCs w:val="18"/>
              </w:rPr>
            </w:pPr>
            <w:r w:rsidRPr="0038740A">
              <w:rPr>
                <w:rFonts w:ascii="Arial" w:hAnsi="Arial" w:cs="Arial"/>
                <w:sz w:val="18"/>
                <w:szCs w:val="18"/>
              </w:rPr>
              <w:t xml:space="preserve">a material change to the design or distribution of the product, including related documentation;  </w:t>
            </w:r>
          </w:p>
          <w:p w14:paraId="324B2494" w14:textId="77777777" w:rsidR="00B4711D" w:rsidRPr="0038740A" w:rsidRDefault="00B4711D" w:rsidP="00D27AA1">
            <w:pPr>
              <w:pStyle w:val="ListParagraph"/>
              <w:numPr>
                <w:ilvl w:val="0"/>
                <w:numId w:val="3"/>
              </w:numPr>
              <w:rPr>
                <w:rFonts w:ascii="Arial" w:hAnsi="Arial" w:cs="Arial"/>
                <w:sz w:val="18"/>
                <w:szCs w:val="18"/>
              </w:rPr>
            </w:pPr>
            <w:r w:rsidRPr="0038740A">
              <w:rPr>
                <w:rFonts w:ascii="Arial" w:hAnsi="Arial" w:cs="Arial"/>
                <w:sz w:val="18"/>
                <w:szCs w:val="18"/>
              </w:rPr>
              <w:t xml:space="preserve">occurrence of a significant dealing;  </w:t>
            </w:r>
          </w:p>
          <w:p w14:paraId="0148F758" w14:textId="77777777" w:rsidR="007476C2" w:rsidRPr="0038740A" w:rsidRDefault="00B4711D" w:rsidP="00D27AA1">
            <w:pPr>
              <w:pStyle w:val="ListParagraph"/>
              <w:numPr>
                <w:ilvl w:val="0"/>
                <w:numId w:val="3"/>
              </w:numPr>
              <w:rPr>
                <w:rFonts w:ascii="Arial" w:hAnsi="Arial" w:cs="Arial"/>
                <w:sz w:val="18"/>
                <w:szCs w:val="18"/>
              </w:rPr>
            </w:pPr>
            <w:r w:rsidRPr="0038740A">
              <w:rPr>
                <w:rFonts w:ascii="Arial" w:hAnsi="Arial" w:cs="Arial"/>
                <w:sz w:val="18"/>
                <w:szCs w:val="18"/>
              </w:rPr>
              <w:t>distribution conditions found to be inadequate; </w:t>
            </w:r>
          </w:p>
          <w:p w14:paraId="2FAFF110" w14:textId="283C2106" w:rsidR="00B4711D" w:rsidRPr="0038740A" w:rsidRDefault="007476C2" w:rsidP="00D27AA1">
            <w:pPr>
              <w:pStyle w:val="ListParagraph"/>
              <w:numPr>
                <w:ilvl w:val="0"/>
                <w:numId w:val="3"/>
              </w:numPr>
              <w:rPr>
                <w:rFonts w:ascii="Arial" w:hAnsi="Arial" w:cs="Arial"/>
                <w:sz w:val="18"/>
                <w:szCs w:val="18"/>
              </w:rPr>
            </w:pPr>
            <w:r w:rsidRPr="0038740A">
              <w:rPr>
                <w:rFonts w:ascii="Arial" w:hAnsi="Arial" w:cs="Arial"/>
                <w:sz w:val="18"/>
                <w:szCs w:val="18"/>
              </w:rPr>
              <w:t>a change in relevant law or regulations;</w:t>
            </w:r>
            <w:r w:rsidR="00B4711D" w:rsidRPr="0038740A">
              <w:rPr>
                <w:rFonts w:ascii="Arial" w:hAnsi="Arial" w:cs="Arial"/>
                <w:sz w:val="18"/>
                <w:szCs w:val="18"/>
              </w:rPr>
              <w:t xml:space="preserve"> </w:t>
            </w:r>
          </w:p>
          <w:p w14:paraId="4486322D" w14:textId="77777777" w:rsidR="00B4711D" w:rsidRPr="0038740A" w:rsidRDefault="00B4711D" w:rsidP="00D27AA1">
            <w:pPr>
              <w:pStyle w:val="ListParagraph"/>
              <w:numPr>
                <w:ilvl w:val="0"/>
                <w:numId w:val="3"/>
              </w:numPr>
              <w:rPr>
                <w:rFonts w:ascii="Arial" w:hAnsi="Arial" w:cs="Arial"/>
                <w:sz w:val="18"/>
                <w:szCs w:val="18"/>
              </w:rPr>
            </w:pPr>
            <w:r w:rsidRPr="0038740A">
              <w:rPr>
                <w:rFonts w:ascii="Arial" w:hAnsi="Arial" w:cs="Arial"/>
                <w:sz w:val="18"/>
                <w:szCs w:val="18"/>
              </w:rPr>
              <w:t xml:space="preserve">external events such as adverse media coverage or regulatory attention; and   </w:t>
            </w:r>
          </w:p>
          <w:p w14:paraId="5E23B83B" w14:textId="6DE5CE39" w:rsidR="00612FE8" w:rsidRPr="00A5492B" w:rsidRDefault="00B4711D" w:rsidP="00A5492B">
            <w:pPr>
              <w:pStyle w:val="ListParagraph"/>
              <w:numPr>
                <w:ilvl w:val="0"/>
                <w:numId w:val="3"/>
              </w:numPr>
              <w:rPr>
                <w:rFonts w:ascii="Arial" w:hAnsi="Arial" w:cs="Arial"/>
                <w:sz w:val="18"/>
                <w:szCs w:val="18"/>
              </w:rPr>
            </w:pPr>
            <w:r w:rsidRPr="0038740A">
              <w:rPr>
                <w:rFonts w:ascii="Arial" w:hAnsi="Arial" w:cs="Arial"/>
                <w:sz w:val="18"/>
                <w:szCs w:val="18"/>
              </w:rPr>
              <w:t xml:space="preserve">significant changes in metrics, including, but not limited to, complaints, </w:t>
            </w:r>
            <w:r w:rsidR="005B4DEE" w:rsidRPr="0038740A">
              <w:rPr>
                <w:rFonts w:ascii="Arial" w:hAnsi="Arial" w:cs="Arial"/>
                <w:sz w:val="18"/>
                <w:szCs w:val="18"/>
              </w:rPr>
              <w:t>referrals to the ombudsman, and</w:t>
            </w:r>
            <w:r w:rsidRPr="0038740A">
              <w:rPr>
                <w:rFonts w:ascii="Arial" w:hAnsi="Arial" w:cs="Arial"/>
                <w:sz w:val="18"/>
                <w:szCs w:val="18"/>
              </w:rPr>
              <w:t xml:space="preserve"> </w:t>
            </w:r>
            <w:r w:rsidR="00FD3CB9" w:rsidRPr="0038740A">
              <w:rPr>
                <w:rFonts w:ascii="Arial" w:hAnsi="Arial" w:cs="Arial"/>
                <w:sz w:val="18"/>
                <w:szCs w:val="18"/>
              </w:rPr>
              <w:t>claims data</w:t>
            </w:r>
            <w:r w:rsidR="005B4DEE" w:rsidRPr="0038740A">
              <w:rPr>
                <w:rFonts w:ascii="Arial" w:hAnsi="Arial" w:cs="Arial"/>
                <w:sz w:val="18"/>
                <w:szCs w:val="18"/>
              </w:rPr>
              <w:t>.</w:t>
            </w:r>
            <w:r w:rsidRPr="0038740A">
              <w:rPr>
                <w:rFonts w:ascii="Arial" w:hAnsi="Arial" w:cs="Arial"/>
                <w:sz w:val="18"/>
                <w:szCs w:val="18"/>
              </w:rPr>
              <w:t xml:space="preserve">  </w:t>
            </w:r>
          </w:p>
        </w:tc>
      </w:tr>
    </w:tbl>
    <w:p w14:paraId="75458369" w14:textId="77777777" w:rsidR="00612FE8" w:rsidRPr="0038740A" w:rsidRDefault="00612FE8" w:rsidP="00D27AA1">
      <w:pPr>
        <w:spacing w:line="240" w:lineRule="auto"/>
        <w:rPr>
          <w:rFonts w:ascii="Arial" w:hAnsi="Arial" w:cs="Arial"/>
          <w:sz w:val="18"/>
          <w:szCs w:val="18"/>
        </w:rPr>
      </w:pPr>
    </w:p>
    <w:p w14:paraId="632A7053" w14:textId="1D698CA6" w:rsidR="00467EE9" w:rsidRPr="0038740A" w:rsidRDefault="00D76232" w:rsidP="00D27AA1">
      <w:pPr>
        <w:spacing w:line="240" w:lineRule="auto"/>
        <w:rPr>
          <w:rFonts w:ascii="Arial" w:hAnsi="Arial" w:cs="Arial"/>
          <w:sz w:val="18"/>
          <w:szCs w:val="18"/>
        </w:rPr>
      </w:pPr>
      <w:r w:rsidRPr="0038740A">
        <w:rPr>
          <w:rFonts w:ascii="Arial" w:hAnsi="Arial" w:cs="Arial"/>
          <w:sz w:val="18"/>
          <w:szCs w:val="18"/>
        </w:rPr>
        <w:t>Where a review trigger has occurred, this target market determination will be reviewed within 10 business days.</w:t>
      </w:r>
    </w:p>
    <w:p w14:paraId="54273083" w14:textId="77777777" w:rsidR="00D76232" w:rsidRPr="0038740A" w:rsidRDefault="00D76232" w:rsidP="00D27AA1">
      <w:pPr>
        <w:spacing w:after="0" w:line="240" w:lineRule="auto"/>
        <w:rPr>
          <w:rFonts w:ascii="Arial" w:hAnsi="Arial" w:cs="Arial"/>
          <w:sz w:val="18"/>
          <w:szCs w:val="18"/>
        </w:rPr>
      </w:pPr>
    </w:p>
    <w:p w14:paraId="05D8F4B7" w14:textId="4849FB4F" w:rsidR="00467EE9" w:rsidRPr="0038740A" w:rsidRDefault="00467EE9" w:rsidP="00D27AA1">
      <w:pPr>
        <w:pStyle w:val="ListParagraph"/>
        <w:numPr>
          <w:ilvl w:val="0"/>
          <w:numId w:val="1"/>
        </w:numPr>
        <w:spacing w:after="120" w:line="240" w:lineRule="auto"/>
        <w:ind w:left="567" w:hanging="567"/>
        <w:rPr>
          <w:rFonts w:ascii="Arial" w:hAnsi="Arial" w:cs="Arial"/>
          <w:b/>
          <w:bCs/>
          <w:sz w:val="18"/>
          <w:szCs w:val="18"/>
        </w:rPr>
      </w:pPr>
      <w:r w:rsidRPr="0038740A">
        <w:rPr>
          <w:rFonts w:ascii="Arial" w:hAnsi="Arial" w:cs="Arial"/>
          <w:b/>
          <w:bCs/>
          <w:sz w:val="18"/>
          <w:szCs w:val="18"/>
        </w:rPr>
        <w:t>Reporting and monitoring this target market determination</w:t>
      </w:r>
    </w:p>
    <w:p w14:paraId="6F30D663" w14:textId="27D67BD7" w:rsidR="00467EE9" w:rsidRPr="0038740A" w:rsidRDefault="00AE4F39" w:rsidP="00D27AA1">
      <w:pPr>
        <w:spacing w:line="240" w:lineRule="auto"/>
        <w:rPr>
          <w:rFonts w:ascii="Arial" w:hAnsi="Arial" w:cs="Arial"/>
          <w:sz w:val="18"/>
          <w:szCs w:val="18"/>
        </w:rPr>
      </w:pPr>
      <w:r w:rsidRPr="0038740A">
        <w:rPr>
          <w:rFonts w:ascii="Arial" w:hAnsi="Arial" w:cs="Arial"/>
          <w:sz w:val="18"/>
          <w:szCs w:val="18"/>
        </w:rPr>
        <w:t>We may collect the following information from our distributors in relation to this TMD.</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CellMar>
          <w:top w:w="28" w:type="dxa"/>
          <w:left w:w="57" w:type="dxa"/>
          <w:bottom w:w="28" w:type="dxa"/>
          <w:right w:w="57" w:type="dxa"/>
        </w:tblCellMar>
        <w:tblLook w:val="04A0" w:firstRow="1" w:lastRow="0" w:firstColumn="1" w:lastColumn="0" w:noHBand="0" w:noVBand="1"/>
      </w:tblPr>
      <w:tblGrid>
        <w:gridCol w:w="1838"/>
        <w:gridCol w:w="8074"/>
      </w:tblGrid>
      <w:tr w:rsidR="0038740A" w:rsidRPr="0038740A" w14:paraId="2952DB87" w14:textId="77777777" w:rsidTr="004F00A8">
        <w:trPr>
          <w:trHeight w:val="680"/>
        </w:trPr>
        <w:tc>
          <w:tcPr>
            <w:tcW w:w="1838" w:type="dxa"/>
          </w:tcPr>
          <w:p w14:paraId="59808D13" w14:textId="5C3EEC52" w:rsidR="00AE4F39" w:rsidRPr="0038740A" w:rsidRDefault="00AE4F39" w:rsidP="00D27AA1">
            <w:pPr>
              <w:rPr>
                <w:rFonts w:ascii="Arial" w:hAnsi="Arial" w:cs="Arial"/>
                <w:b/>
                <w:bCs/>
                <w:sz w:val="18"/>
                <w:szCs w:val="18"/>
              </w:rPr>
            </w:pPr>
            <w:r w:rsidRPr="0038740A">
              <w:rPr>
                <w:rFonts w:ascii="Arial" w:hAnsi="Arial" w:cs="Arial"/>
                <w:b/>
                <w:bCs/>
                <w:sz w:val="18"/>
                <w:szCs w:val="18"/>
              </w:rPr>
              <w:t>Complaints</w:t>
            </w:r>
          </w:p>
        </w:tc>
        <w:tc>
          <w:tcPr>
            <w:tcW w:w="8074" w:type="dxa"/>
          </w:tcPr>
          <w:p w14:paraId="33B1067E" w14:textId="523B813F" w:rsidR="00AE4F39" w:rsidRPr="0038740A" w:rsidRDefault="004F00A8" w:rsidP="00D27AA1">
            <w:pPr>
              <w:rPr>
                <w:rFonts w:ascii="Arial" w:hAnsi="Arial" w:cs="Arial"/>
                <w:sz w:val="18"/>
                <w:szCs w:val="18"/>
              </w:rPr>
            </w:pPr>
            <w:r w:rsidRPr="0038740A">
              <w:rPr>
                <w:rFonts w:ascii="Arial" w:hAnsi="Arial" w:cs="Arial"/>
                <w:sz w:val="18"/>
                <w:szCs w:val="18"/>
              </w:rPr>
              <w:t xml:space="preserve">Distributors will report all complaints </w:t>
            </w:r>
            <w:r w:rsidR="005B4DEE" w:rsidRPr="0038740A">
              <w:rPr>
                <w:rFonts w:ascii="Arial" w:hAnsi="Arial" w:cs="Arial"/>
                <w:sz w:val="18"/>
                <w:szCs w:val="18"/>
              </w:rPr>
              <w:t xml:space="preserve">to insurers </w:t>
            </w:r>
            <w:r w:rsidR="007476C2" w:rsidRPr="0038740A">
              <w:rPr>
                <w:rFonts w:ascii="Arial" w:hAnsi="Arial" w:cs="Arial"/>
                <w:sz w:val="18"/>
                <w:szCs w:val="18"/>
              </w:rPr>
              <w:t>on an individual basis</w:t>
            </w:r>
            <w:r w:rsidR="005B4DEE" w:rsidRPr="0038740A">
              <w:rPr>
                <w:rFonts w:ascii="Arial" w:hAnsi="Arial" w:cs="Arial"/>
                <w:sz w:val="18"/>
                <w:szCs w:val="18"/>
              </w:rPr>
              <w:t xml:space="preserve"> </w:t>
            </w:r>
            <w:r w:rsidR="009C27EB" w:rsidRPr="0038740A">
              <w:rPr>
                <w:rFonts w:ascii="Arial" w:hAnsi="Arial" w:cs="Arial"/>
                <w:sz w:val="18"/>
                <w:szCs w:val="18"/>
              </w:rPr>
              <w:t>within 30 days</w:t>
            </w:r>
            <w:r w:rsidR="005B4DEE" w:rsidRPr="0038740A">
              <w:rPr>
                <w:rFonts w:ascii="Arial" w:hAnsi="Arial" w:cs="Arial"/>
                <w:sz w:val="18"/>
                <w:szCs w:val="18"/>
              </w:rPr>
              <w:t>.</w:t>
            </w:r>
          </w:p>
        </w:tc>
      </w:tr>
      <w:tr w:rsidR="0038740A" w:rsidRPr="0038740A" w14:paraId="67AA8D8B" w14:textId="77777777" w:rsidTr="004F00A8">
        <w:trPr>
          <w:trHeight w:val="680"/>
        </w:trPr>
        <w:tc>
          <w:tcPr>
            <w:tcW w:w="1838" w:type="dxa"/>
          </w:tcPr>
          <w:p w14:paraId="6ABC9605" w14:textId="1F5FE51E" w:rsidR="00AE4F39" w:rsidRPr="0038740A" w:rsidRDefault="00AE4F39" w:rsidP="00D27AA1">
            <w:pPr>
              <w:rPr>
                <w:rFonts w:ascii="Arial" w:hAnsi="Arial" w:cs="Arial"/>
                <w:b/>
                <w:bCs/>
                <w:sz w:val="18"/>
                <w:szCs w:val="18"/>
              </w:rPr>
            </w:pPr>
            <w:r w:rsidRPr="0038740A">
              <w:rPr>
                <w:rFonts w:ascii="Arial" w:hAnsi="Arial" w:cs="Arial"/>
                <w:b/>
                <w:bCs/>
                <w:sz w:val="18"/>
                <w:szCs w:val="18"/>
              </w:rPr>
              <w:t>Significant dealings</w:t>
            </w:r>
          </w:p>
        </w:tc>
        <w:tc>
          <w:tcPr>
            <w:tcW w:w="8074" w:type="dxa"/>
          </w:tcPr>
          <w:p w14:paraId="5FD41EB2" w14:textId="1CA6571A" w:rsidR="00AE4F39" w:rsidRPr="0038740A" w:rsidRDefault="004F00A8" w:rsidP="00D27AA1">
            <w:pPr>
              <w:rPr>
                <w:rFonts w:ascii="Arial" w:hAnsi="Arial" w:cs="Arial"/>
                <w:sz w:val="18"/>
                <w:szCs w:val="18"/>
              </w:rPr>
            </w:pPr>
            <w:r w:rsidRPr="0038740A">
              <w:rPr>
                <w:rFonts w:ascii="Arial" w:hAnsi="Arial" w:cs="Arial"/>
                <w:sz w:val="18"/>
                <w:szCs w:val="18"/>
              </w:rPr>
              <w:t>Distributors will report if they become aware of a significant dealing in relation to this TMD within 10 business days.</w:t>
            </w:r>
          </w:p>
        </w:tc>
      </w:tr>
    </w:tbl>
    <w:p w14:paraId="6A59B627" w14:textId="77777777" w:rsidR="00AE4F39" w:rsidRPr="0038740A" w:rsidRDefault="00AE4F39" w:rsidP="00D27AA1">
      <w:pPr>
        <w:spacing w:line="240" w:lineRule="auto"/>
        <w:rPr>
          <w:rFonts w:ascii="Arial" w:hAnsi="Arial" w:cs="Arial"/>
          <w:sz w:val="18"/>
          <w:szCs w:val="18"/>
        </w:rPr>
      </w:pPr>
    </w:p>
    <w:p w14:paraId="16B055D1" w14:textId="77777777" w:rsidR="00467EE9" w:rsidRPr="0038740A" w:rsidRDefault="00467EE9" w:rsidP="00D27AA1">
      <w:pPr>
        <w:spacing w:line="240" w:lineRule="auto"/>
        <w:rPr>
          <w:rFonts w:ascii="Arial" w:hAnsi="Arial" w:cs="Arial"/>
          <w:sz w:val="18"/>
          <w:szCs w:val="18"/>
        </w:rPr>
      </w:pPr>
    </w:p>
    <w:p w14:paraId="77A73B02" w14:textId="77777777" w:rsidR="00467EE9" w:rsidRPr="0038740A" w:rsidRDefault="00467EE9" w:rsidP="00D27AA1">
      <w:pPr>
        <w:spacing w:line="240" w:lineRule="auto"/>
        <w:rPr>
          <w:rFonts w:ascii="Arial" w:hAnsi="Arial" w:cs="Arial"/>
          <w:sz w:val="18"/>
          <w:szCs w:val="18"/>
        </w:rPr>
      </w:pPr>
    </w:p>
    <w:sectPr w:rsidR="00467EE9" w:rsidRPr="0038740A" w:rsidSect="000D46A6">
      <w:footerReference w:type="default" r:id="rId11"/>
      <w:footerReference w:type="first" r:id="rId12"/>
      <w:pgSz w:w="11906" w:h="16838"/>
      <w:pgMar w:top="1440" w:right="991"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CE4F4" w14:textId="77777777" w:rsidR="00BF0B1E" w:rsidRDefault="00BF0B1E" w:rsidP="00D2410F">
      <w:pPr>
        <w:spacing w:after="0" w:line="240" w:lineRule="auto"/>
      </w:pPr>
      <w:r>
        <w:separator/>
      </w:r>
    </w:p>
  </w:endnote>
  <w:endnote w:type="continuationSeparator" w:id="0">
    <w:p w14:paraId="2085120E" w14:textId="77777777" w:rsidR="00BF0B1E" w:rsidRDefault="00BF0B1E" w:rsidP="00D24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029255"/>
      <w:docPartObj>
        <w:docPartGallery w:val="Page Numbers (Bottom of Page)"/>
        <w:docPartUnique/>
      </w:docPartObj>
    </w:sdtPr>
    <w:sdtEndPr>
      <w:rPr>
        <w:rFonts w:asciiTheme="majorHAnsi" w:hAnsiTheme="majorHAnsi" w:cstheme="majorHAnsi"/>
        <w:noProof/>
        <w:sz w:val="16"/>
        <w:szCs w:val="16"/>
      </w:rPr>
    </w:sdtEndPr>
    <w:sdtContent>
      <w:p w14:paraId="3A80C370" w14:textId="57939B1E" w:rsidR="00E323B8" w:rsidRPr="00E323B8" w:rsidRDefault="00E323B8">
        <w:pPr>
          <w:pStyle w:val="Footer"/>
          <w:jc w:val="right"/>
          <w:rPr>
            <w:rFonts w:asciiTheme="majorHAnsi" w:hAnsiTheme="majorHAnsi" w:cstheme="majorHAnsi"/>
            <w:sz w:val="16"/>
            <w:szCs w:val="16"/>
          </w:rPr>
        </w:pPr>
        <w:r w:rsidRPr="00E323B8">
          <w:rPr>
            <w:rFonts w:asciiTheme="majorHAnsi" w:hAnsiTheme="majorHAnsi" w:cstheme="majorHAnsi"/>
            <w:sz w:val="16"/>
            <w:szCs w:val="16"/>
          </w:rPr>
          <w:fldChar w:fldCharType="begin"/>
        </w:r>
        <w:r w:rsidRPr="00E323B8">
          <w:rPr>
            <w:rFonts w:asciiTheme="majorHAnsi" w:hAnsiTheme="majorHAnsi" w:cstheme="majorHAnsi"/>
            <w:sz w:val="16"/>
            <w:szCs w:val="16"/>
          </w:rPr>
          <w:instrText xml:space="preserve"> PAGE   \* MERGEFORMAT </w:instrText>
        </w:r>
        <w:r w:rsidRPr="00E323B8">
          <w:rPr>
            <w:rFonts w:asciiTheme="majorHAnsi" w:hAnsiTheme="majorHAnsi" w:cstheme="majorHAnsi"/>
            <w:sz w:val="16"/>
            <w:szCs w:val="16"/>
          </w:rPr>
          <w:fldChar w:fldCharType="separate"/>
        </w:r>
        <w:r w:rsidRPr="00E323B8">
          <w:rPr>
            <w:rFonts w:asciiTheme="majorHAnsi" w:hAnsiTheme="majorHAnsi" w:cstheme="majorHAnsi"/>
            <w:noProof/>
            <w:sz w:val="16"/>
            <w:szCs w:val="16"/>
          </w:rPr>
          <w:t>2</w:t>
        </w:r>
        <w:r w:rsidRPr="00E323B8">
          <w:rPr>
            <w:rFonts w:asciiTheme="majorHAnsi" w:hAnsiTheme="majorHAnsi" w:cstheme="majorHAnsi"/>
            <w:noProof/>
            <w:sz w:val="16"/>
            <w:szCs w:val="16"/>
          </w:rPr>
          <w:fldChar w:fldCharType="end"/>
        </w:r>
      </w:p>
    </w:sdtContent>
  </w:sdt>
  <w:p w14:paraId="0F4739CA" w14:textId="77777777" w:rsidR="00E323B8" w:rsidRDefault="00E32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alias w:val="Disclaimer: Business_External"/>
      <w:tag w:val="{&quot;templafy&quot;:{&quot;id&quot;:&quot;1bd17ba2-f876-48ee-a8c6-ccd005c8236f&quot;}}"/>
      <w:id w:val="-733243423"/>
      <w:placeholder>
        <w:docPart w:val="C70C2005DDF54B0CB58BA3E2A76B8E57"/>
      </w:placeholder>
    </w:sdtPr>
    <w:sdtEndPr/>
    <w:sdtContent>
      <w:p w14:paraId="69EA0EF2" w14:textId="716CCEA7" w:rsidR="00650BB0" w:rsidRDefault="00650BB0" w:rsidP="00650BB0">
        <w:pPr>
          <w:pStyle w:val="Disclaimer"/>
        </w:pPr>
      </w:p>
      <w:p w14:paraId="308CD24D" w14:textId="76B224F6" w:rsidR="008447CB" w:rsidRPr="008447CB" w:rsidRDefault="001E2C45" w:rsidP="008447CB">
        <w:pPr>
          <w:pStyle w:val="Disclaimer"/>
          <w:rPr>
            <w:rFonts w:asciiTheme="majorHAnsi" w:hAnsiTheme="majorHAnsi" w:cstheme="majorHAnsi"/>
            <w:noProof w:val="0"/>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C0FE8" w14:textId="77777777" w:rsidR="00BF0B1E" w:rsidRDefault="00BF0B1E" w:rsidP="00D2410F">
      <w:pPr>
        <w:spacing w:after="0" w:line="240" w:lineRule="auto"/>
      </w:pPr>
      <w:r>
        <w:separator/>
      </w:r>
    </w:p>
  </w:footnote>
  <w:footnote w:type="continuationSeparator" w:id="0">
    <w:p w14:paraId="09EF1E22" w14:textId="77777777" w:rsidR="00BF0B1E" w:rsidRDefault="00BF0B1E" w:rsidP="00D241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6226B"/>
    <w:multiLevelType w:val="hybridMultilevel"/>
    <w:tmpl w:val="43405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147851"/>
    <w:multiLevelType w:val="hybridMultilevel"/>
    <w:tmpl w:val="52F021E0"/>
    <w:lvl w:ilvl="0" w:tplc="162012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EF0676"/>
    <w:multiLevelType w:val="hybridMultilevel"/>
    <w:tmpl w:val="D098E9A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B0C740C"/>
    <w:multiLevelType w:val="hybridMultilevel"/>
    <w:tmpl w:val="650258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AD177F"/>
    <w:multiLevelType w:val="hybridMultilevel"/>
    <w:tmpl w:val="967A3B36"/>
    <w:lvl w:ilvl="0" w:tplc="DC2C0D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E829F9"/>
    <w:multiLevelType w:val="hybridMultilevel"/>
    <w:tmpl w:val="84EA8B60"/>
    <w:lvl w:ilvl="0" w:tplc="307C4E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285FBC"/>
    <w:multiLevelType w:val="hybridMultilevel"/>
    <w:tmpl w:val="6BD077F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4F1F6F"/>
    <w:multiLevelType w:val="hybridMultilevel"/>
    <w:tmpl w:val="A4CEF4FA"/>
    <w:lvl w:ilvl="0" w:tplc="EA681B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4"/>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10F"/>
    <w:rsid w:val="00016114"/>
    <w:rsid w:val="0005794A"/>
    <w:rsid w:val="00095305"/>
    <w:rsid w:val="000B3F9B"/>
    <w:rsid w:val="000B409F"/>
    <w:rsid w:val="000C0A80"/>
    <w:rsid w:val="000D46A6"/>
    <w:rsid w:val="000D7065"/>
    <w:rsid w:val="000F2720"/>
    <w:rsid w:val="000F4544"/>
    <w:rsid w:val="00107473"/>
    <w:rsid w:val="00141654"/>
    <w:rsid w:val="00162530"/>
    <w:rsid w:val="001836D1"/>
    <w:rsid w:val="001C0A33"/>
    <w:rsid w:val="001D00AE"/>
    <w:rsid w:val="001E2C45"/>
    <w:rsid w:val="001E74BE"/>
    <w:rsid w:val="00216313"/>
    <w:rsid w:val="00261641"/>
    <w:rsid w:val="0026685C"/>
    <w:rsid w:val="002A48C2"/>
    <w:rsid w:val="002D4588"/>
    <w:rsid w:val="00320AB4"/>
    <w:rsid w:val="003360EF"/>
    <w:rsid w:val="00343966"/>
    <w:rsid w:val="00356DEF"/>
    <w:rsid w:val="00361308"/>
    <w:rsid w:val="00370361"/>
    <w:rsid w:val="0038740A"/>
    <w:rsid w:val="003A0952"/>
    <w:rsid w:val="003A13AF"/>
    <w:rsid w:val="00401616"/>
    <w:rsid w:val="0044189D"/>
    <w:rsid w:val="00462A8F"/>
    <w:rsid w:val="00467EE9"/>
    <w:rsid w:val="004F00A8"/>
    <w:rsid w:val="00500DC8"/>
    <w:rsid w:val="00593762"/>
    <w:rsid w:val="005B4DC5"/>
    <w:rsid w:val="005B4DEE"/>
    <w:rsid w:val="005E2F82"/>
    <w:rsid w:val="00612FE8"/>
    <w:rsid w:val="006164DE"/>
    <w:rsid w:val="00650BB0"/>
    <w:rsid w:val="0068045B"/>
    <w:rsid w:val="006B0B1B"/>
    <w:rsid w:val="00712D1F"/>
    <w:rsid w:val="00714527"/>
    <w:rsid w:val="007476C2"/>
    <w:rsid w:val="00747B4A"/>
    <w:rsid w:val="00757E50"/>
    <w:rsid w:val="00771C6E"/>
    <w:rsid w:val="007777B0"/>
    <w:rsid w:val="007A3F09"/>
    <w:rsid w:val="007A49B8"/>
    <w:rsid w:val="007C0D12"/>
    <w:rsid w:val="008007C8"/>
    <w:rsid w:val="00803F56"/>
    <w:rsid w:val="008204B8"/>
    <w:rsid w:val="0082488B"/>
    <w:rsid w:val="00835AD3"/>
    <w:rsid w:val="008447CB"/>
    <w:rsid w:val="00881AAE"/>
    <w:rsid w:val="008B465F"/>
    <w:rsid w:val="00911AB6"/>
    <w:rsid w:val="00951DD9"/>
    <w:rsid w:val="0095794F"/>
    <w:rsid w:val="009A16A2"/>
    <w:rsid w:val="009A523F"/>
    <w:rsid w:val="009C27EB"/>
    <w:rsid w:val="009E39D1"/>
    <w:rsid w:val="00A5492B"/>
    <w:rsid w:val="00A821C4"/>
    <w:rsid w:val="00AB191F"/>
    <w:rsid w:val="00AB40A1"/>
    <w:rsid w:val="00AE0E0D"/>
    <w:rsid w:val="00AE4F39"/>
    <w:rsid w:val="00AE56DD"/>
    <w:rsid w:val="00B4711D"/>
    <w:rsid w:val="00B5299D"/>
    <w:rsid w:val="00BB7710"/>
    <w:rsid w:val="00BE325E"/>
    <w:rsid w:val="00BE4255"/>
    <w:rsid w:val="00BE611E"/>
    <w:rsid w:val="00BF0B1E"/>
    <w:rsid w:val="00BF5277"/>
    <w:rsid w:val="00C37100"/>
    <w:rsid w:val="00C679C0"/>
    <w:rsid w:val="00CD73AC"/>
    <w:rsid w:val="00D2410F"/>
    <w:rsid w:val="00D27AA1"/>
    <w:rsid w:val="00D6212E"/>
    <w:rsid w:val="00D76232"/>
    <w:rsid w:val="00DC4AFC"/>
    <w:rsid w:val="00DD140F"/>
    <w:rsid w:val="00DF2548"/>
    <w:rsid w:val="00E246F9"/>
    <w:rsid w:val="00E323B8"/>
    <w:rsid w:val="00E45D2A"/>
    <w:rsid w:val="00E961CE"/>
    <w:rsid w:val="00EB4AD7"/>
    <w:rsid w:val="00EE084D"/>
    <w:rsid w:val="00EE5056"/>
    <w:rsid w:val="00F05C8F"/>
    <w:rsid w:val="00F07649"/>
    <w:rsid w:val="00F63D7A"/>
    <w:rsid w:val="00F900F3"/>
    <w:rsid w:val="00F913FE"/>
    <w:rsid w:val="00FA2728"/>
    <w:rsid w:val="00FD3C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9E87341"/>
  <w15:chartTrackingRefBased/>
  <w15:docId w15:val="{B8A6C44D-22E4-46C4-A5B2-3C530CA5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4DE"/>
    <w:pPr>
      <w:ind w:left="720"/>
      <w:contextualSpacing/>
    </w:pPr>
  </w:style>
  <w:style w:type="character" w:customStyle="1" w:styleId="normaltextrun">
    <w:name w:val="normaltextrun"/>
    <w:basedOn w:val="DefaultParagraphFont"/>
    <w:rsid w:val="00AB191F"/>
  </w:style>
  <w:style w:type="paragraph" w:styleId="Header">
    <w:name w:val="header"/>
    <w:basedOn w:val="Normal"/>
    <w:link w:val="HeaderChar"/>
    <w:uiPriority w:val="99"/>
    <w:unhideWhenUsed/>
    <w:rsid w:val="000B3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F9B"/>
  </w:style>
  <w:style w:type="paragraph" w:styleId="Footer">
    <w:name w:val="footer"/>
    <w:basedOn w:val="Normal"/>
    <w:link w:val="FooterChar"/>
    <w:uiPriority w:val="99"/>
    <w:unhideWhenUsed/>
    <w:rsid w:val="000B3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F9B"/>
  </w:style>
  <w:style w:type="paragraph" w:customStyle="1" w:styleId="Disclaimer">
    <w:name w:val="Disclaimer"/>
    <w:basedOn w:val="Footer"/>
    <w:rsid w:val="008447CB"/>
    <w:pPr>
      <w:tabs>
        <w:tab w:val="clear" w:pos="4513"/>
        <w:tab w:val="clear" w:pos="9026"/>
        <w:tab w:val="right" w:pos="7371"/>
      </w:tabs>
      <w:spacing w:line="150" w:lineRule="exact"/>
      <w:ind w:right="230"/>
    </w:pPr>
    <w:rPr>
      <w:noProof/>
      <w:sz w:val="14"/>
      <w:szCs w:val="14"/>
    </w:rPr>
  </w:style>
  <w:style w:type="paragraph" w:styleId="BalloonText">
    <w:name w:val="Balloon Text"/>
    <w:basedOn w:val="Normal"/>
    <w:link w:val="BalloonTextChar"/>
    <w:uiPriority w:val="99"/>
    <w:semiHidden/>
    <w:unhideWhenUsed/>
    <w:rsid w:val="00650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BB0"/>
    <w:rPr>
      <w:rFonts w:ascii="Segoe UI" w:hAnsi="Segoe UI" w:cs="Segoe UI"/>
      <w:sz w:val="18"/>
      <w:szCs w:val="18"/>
    </w:rPr>
  </w:style>
  <w:style w:type="character" w:styleId="CommentReference">
    <w:name w:val="annotation reference"/>
    <w:basedOn w:val="DefaultParagraphFont"/>
    <w:uiPriority w:val="99"/>
    <w:semiHidden/>
    <w:unhideWhenUsed/>
    <w:rsid w:val="007C0D12"/>
    <w:rPr>
      <w:sz w:val="16"/>
      <w:szCs w:val="16"/>
    </w:rPr>
  </w:style>
  <w:style w:type="paragraph" w:styleId="CommentText">
    <w:name w:val="annotation text"/>
    <w:basedOn w:val="Normal"/>
    <w:link w:val="CommentTextChar"/>
    <w:uiPriority w:val="99"/>
    <w:unhideWhenUsed/>
    <w:rsid w:val="007C0D12"/>
    <w:pPr>
      <w:spacing w:line="240" w:lineRule="auto"/>
    </w:pPr>
    <w:rPr>
      <w:sz w:val="20"/>
      <w:szCs w:val="20"/>
    </w:rPr>
  </w:style>
  <w:style w:type="character" w:customStyle="1" w:styleId="CommentTextChar">
    <w:name w:val="Comment Text Char"/>
    <w:basedOn w:val="DefaultParagraphFont"/>
    <w:link w:val="CommentText"/>
    <w:uiPriority w:val="99"/>
    <w:rsid w:val="007C0D12"/>
    <w:rPr>
      <w:sz w:val="20"/>
      <w:szCs w:val="20"/>
    </w:rPr>
  </w:style>
  <w:style w:type="paragraph" w:styleId="CommentSubject">
    <w:name w:val="annotation subject"/>
    <w:basedOn w:val="CommentText"/>
    <w:next w:val="CommentText"/>
    <w:link w:val="CommentSubjectChar"/>
    <w:uiPriority w:val="99"/>
    <w:semiHidden/>
    <w:unhideWhenUsed/>
    <w:rsid w:val="007C0D12"/>
    <w:rPr>
      <w:b/>
      <w:bCs/>
    </w:rPr>
  </w:style>
  <w:style w:type="character" w:customStyle="1" w:styleId="CommentSubjectChar">
    <w:name w:val="Comment Subject Char"/>
    <w:basedOn w:val="CommentTextChar"/>
    <w:link w:val="CommentSubject"/>
    <w:uiPriority w:val="99"/>
    <w:semiHidden/>
    <w:rsid w:val="007C0D12"/>
    <w:rPr>
      <w:b/>
      <w:bCs/>
      <w:sz w:val="20"/>
      <w:szCs w:val="20"/>
    </w:rPr>
  </w:style>
  <w:style w:type="paragraph" w:styleId="Revision">
    <w:name w:val="Revision"/>
    <w:hidden/>
    <w:uiPriority w:val="99"/>
    <w:semiHidden/>
    <w:rsid w:val="002163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1999">
      <w:bodyDiv w:val="1"/>
      <w:marLeft w:val="0"/>
      <w:marRight w:val="0"/>
      <w:marTop w:val="0"/>
      <w:marBottom w:val="0"/>
      <w:divBdr>
        <w:top w:val="none" w:sz="0" w:space="0" w:color="auto"/>
        <w:left w:val="none" w:sz="0" w:space="0" w:color="auto"/>
        <w:bottom w:val="none" w:sz="0" w:space="0" w:color="auto"/>
        <w:right w:val="none" w:sz="0" w:space="0" w:color="auto"/>
      </w:divBdr>
      <w:divsChild>
        <w:div w:id="2041278618">
          <w:marLeft w:val="0"/>
          <w:marRight w:val="0"/>
          <w:marTop w:val="0"/>
          <w:marBottom w:val="0"/>
          <w:divBdr>
            <w:top w:val="none" w:sz="0" w:space="0" w:color="auto"/>
            <w:left w:val="none" w:sz="0" w:space="0" w:color="auto"/>
            <w:bottom w:val="none" w:sz="0" w:space="0" w:color="auto"/>
            <w:right w:val="none" w:sz="0" w:space="0" w:color="auto"/>
          </w:divBdr>
        </w:div>
        <w:div w:id="2053840559">
          <w:marLeft w:val="0"/>
          <w:marRight w:val="0"/>
          <w:marTop w:val="0"/>
          <w:marBottom w:val="0"/>
          <w:divBdr>
            <w:top w:val="none" w:sz="0" w:space="0" w:color="auto"/>
            <w:left w:val="none" w:sz="0" w:space="0" w:color="auto"/>
            <w:bottom w:val="none" w:sz="0" w:space="0" w:color="auto"/>
            <w:right w:val="none" w:sz="0" w:space="0" w:color="auto"/>
          </w:divBdr>
        </w:div>
        <w:div w:id="1010643635">
          <w:marLeft w:val="0"/>
          <w:marRight w:val="0"/>
          <w:marTop w:val="0"/>
          <w:marBottom w:val="0"/>
          <w:divBdr>
            <w:top w:val="none" w:sz="0" w:space="0" w:color="auto"/>
            <w:left w:val="none" w:sz="0" w:space="0" w:color="auto"/>
            <w:bottom w:val="none" w:sz="0" w:space="0" w:color="auto"/>
            <w:right w:val="none" w:sz="0" w:space="0" w:color="auto"/>
          </w:divBdr>
        </w:div>
      </w:divsChild>
    </w:div>
    <w:div w:id="1214587017">
      <w:bodyDiv w:val="1"/>
      <w:marLeft w:val="0"/>
      <w:marRight w:val="0"/>
      <w:marTop w:val="0"/>
      <w:marBottom w:val="0"/>
      <w:divBdr>
        <w:top w:val="none" w:sz="0" w:space="0" w:color="auto"/>
        <w:left w:val="none" w:sz="0" w:space="0" w:color="auto"/>
        <w:bottom w:val="none" w:sz="0" w:space="0" w:color="auto"/>
        <w:right w:val="none" w:sz="0" w:space="0" w:color="auto"/>
      </w:divBdr>
    </w:div>
    <w:div w:id="124734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0C2005DDF54B0CB58BA3E2A76B8E57"/>
        <w:category>
          <w:name w:val="General"/>
          <w:gallery w:val="placeholder"/>
        </w:category>
        <w:types>
          <w:type w:val="bbPlcHdr"/>
        </w:types>
        <w:behaviors>
          <w:behavior w:val="content"/>
        </w:behaviors>
        <w:guid w:val="{BD0C9C14-E42F-4E74-AC95-8FC3C746453E}"/>
      </w:docPartPr>
      <w:docPartBody>
        <w:p w:rsidR="001D136E" w:rsidRDefault="008E3DE2" w:rsidP="008E3DE2">
          <w:pPr>
            <w:pStyle w:val="C70C2005DDF54B0CB58BA3E2A76B8E57"/>
          </w:pPr>
          <w:bookmarkStart w:id="0" w:name="start"/>
          <w:bookmarkEnd w:id="0"/>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DE2"/>
    <w:rsid w:val="001D136E"/>
    <w:rsid w:val="00283548"/>
    <w:rsid w:val="004402E6"/>
    <w:rsid w:val="008E3D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3DE2"/>
  </w:style>
  <w:style w:type="paragraph" w:customStyle="1" w:styleId="C70C2005DDF54B0CB58BA3E2A76B8E57">
    <w:name w:val="C70C2005DDF54B0CB58BA3E2A76B8E57"/>
    <w:rsid w:val="008E3D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rocessed xmlns="4efbdf3e-7f2a-4e38-abd8-0a507be45b75" xsi:nil="true"/>
    <_ip_UnifiedCompliancePolicyProperties xmlns="http://schemas.microsoft.com/sharepoint/v3" xsi:nil="true"/>
    <done xmlns="4efbdf3e-7f2a-4e38-abd8-0a507be45b75" xsi:nil="true"/>
    <_Flow_SignoffStatus xmlns="4efbdf3e-7f2a-4e38-abd8-0a507be45b7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7671D29DDDF0458D07F784AFEE316B" ma:contentTypeVersion="17" ma:contentTypeDescription="Create a new document." ma:contentTypeScope="" ma:versionID="6c5e40d6cd268f8b263ba457695acbe1">
  <xsd:schema xmlns:xsd="http://www.w3.org/2001/XMLSchema" xmlns:xs="http://www.w3.org/2001/XMLSchema" xmlns:p="http://schemas.microsoft.com/office/2006/metadata/properties" xmlns:ns1="http://schemas.microsoft.com/sharepoint/v3" xmlns:ns2="4efbdf3e-7f2a-4e38-abd8-0a507be45b75" xmlns:ns3="d7bb08de-6e0c-43e9-8145-1303168a08fd" targetNamespace="http://schemas.microsoft.com/office/2006/metadata/properties" ma:root="true" ma:fieldsID="4abf7bdf87b7a092d14be6fee9aa5a20" ns1:_="" ns2:_="" ns3:_="">
    <xsd:import namespace="http://schemas.microsoft.com/sharepoint/v3"/>
    <xsd:import namespace="4efbdf3e-7f2a-4e38-abd8-0a507be45b75"/>
    <xsd:import namespace="d7bb08de-6e0c-43e9-8145-1303168a08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Processed" minOccurs="0"/>
                <xsd:element ref="ns2:done" minOccurs="0"/>
                <xsd:element ref="ns2:_Flow_SignoffStatu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fbdf3e-7f2a-4e38-abd8-0a507be45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Processed" ma:index="18" nillable="true" ma:displayName="Processed" ma:format="Dropdown" ma:internalName="Processed">
      <xsd:simpleType>
        <xsd:restriction base="dms:Text">
          <xsd:maxLength value="255"/>
        </xsd:restriction>
      </xsd:simpleType>
    </xsd:element>
    <xsd:element name="done" ma:index="19" nillable="true" ma:displayName="done" ma:format="Dropdown" ma:internalName="don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b08de-6e0c-43e9-8145-1303168a08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p r o p e r t i e s   x m l n s = " h t t p : / / w w w . i m a n a g e . c o m / w o r k / x m l s c h e m a " >  
     < d o c u m e n t i d > A U S ! 8 6 5 0 2 8 6 . 1 < / d o c u m e n t i d >  
     < s e n d e r i d > L A M Y < / s e n d e r i d >  
     < s e n d e r e m a i l > Y V O N N E . L A M @ C L Y D E C O . C O M < / s e n d e r e m a i l >  
     < l a s t m o d i f i e d > 2 0 2 1 - 0 8 - 2 7 T 1 9 : 0 4 : 0 0 . 0 0 0 0 0 0 0 + 1 0 : 0 0 < / l a s t m o d i f i e d >  
     < d a t a b a s e > A U S < / d a t a b a s e >  
 < / 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F2B564-C6A6-4C65-BA09-AEACFABCCB5F}">
  <ds:schemaRefs>
    <ds:schemaRef ds:uri="http://schemas.microsoft.com/office/2006/metadata/properties"/>
    <ds:schemaRef ds:uri="http://schemas.microsoft.com/office/infopath/2007/PartnerControls"/>
    <ds:schemaRef ds:uri="http://schemas.microsoft.com/sharepoint/v3"/>
    <ds:schemaRef ds:uri="4efbdf3e-7f2a-4e38-abd8-0a507be45b75"/>
  </ds:schemaRefs>
</ds:datastoreItem>
</file>

<file path=customXml/itemProps2.xml><?xml version="1.0" encoding="utf-8"?>
<ds:datastoreItem xmlns:ds="http://schemas.openxmlformats.org/officeDocument/2006/customXml" ds:itemID="{ADFB0657-E19A-4850-A6DF-C112C80D5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fbdf3e-7f2a-4e38-abd8-0a507be45b75"/>
    <ds:schemaRef ds:uri="d7bb08de-6e0c-43e9-8145-1303168a08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DD6579-5DBF-4893-9300-A078B805C035}">
  <ds:schemaRefs>
    <ds:schemaRef ds:uri="http://www.imanage.com/work/xmlschema"/>
  </ds:schemaRefs>
</ds:datastoreItem>
</file>

<file path=customXml/itemProps4.xml><?xml version="1.0" encoding="utf-8"?>
<ds:datastoreItem xmlns:ds="http://schemas.openxmlformats.org/officeDocument/2006/customXml" ds:itemID="{53986724-BC64-4685-9358-E020F7060A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5569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Teskey, Rosalyn</dc:creator>
  <cp:keywords/>
  <dc:description/>
  <cp:lastModifiedBy>Timothy Stevens</cp:lastModifiedBy>
  <cp:revision>2</cp:revision>
  <dcterms:created xsi:type="dcterms:W3CDTF">2022-12-07T11:13:00Z</dcterms:created>
  <dcterms:modified xsi:type="dcterms:W3CDTF">2022-12-07T11:13:00Z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2021-02-11T04:50:36Z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ab42af0a-c2d9-4eef-bee7-44187f8c558d</vt:lpwstr>
  </property>
  <property fmtid="{D5CDD505-2E9C-101B-9397-08002B2CF9AE}" pid="8" name="MSIP_Label_ea60d57e-af5b-4752-ac57-3e4f28ca11dc_ContentBits">
    <vt:lpwstr>0</vt:lpwstr>
  </property>
  <property fmtid="{D5CDD505-2E9C-101B-9397-08002B2CF9AE}" pid="9" name="ContentTypeId">
    <vt:lpwstr>0x0101000D7671D29DDDF0458D07F784AFEE316B</vt:lpwstr>
  </property>
</Properties>
</file>